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黑体"/>
          <w:sz w:val="36"/>
          <w:szCs w:val="36"/>
        </w:rPr>
      </w:pPr>
      <w:r>
        <w:rPr>
          <w:rFonts w:hint="eastAsia" w:ascii="黑体" w:hAnsi="黑体" w:eastAsia="黑体" w:cs="黑体"/>
          <w:sz w:val="36"/>
          <w:szCs w:val="36"/>
        </w:rPr>
        <w:t>工程施工物资报价单</w:t>
      </w:r>
    </w:p>
    <w:p>
      <w:pPr>
        <w:tabs>
          <w:tab w:val="left" w:pos="3360"/>
        </w:tabs>
        <w:adjustRightInd w:val="0"/>
        <w:snapToGrid w:val="0"/>
        <w:spacing w:line="360" w:lineRule="auto"/>
        <w:ind w:left="630"/>
        <w:jc w:val="left"/>
        <w:rPr>
          <w:rFonts w:hint="eastAsia" w:ascii="黑体" w:hAnsi="黑体" w:eastAsia="黑体" w:cs="黑体"/>
          <w:b/>
          <w:bCs/>
          <w:sz w:val="32"/>
          <w:szCs w:val="32"/>
        </w:rPr>
      </w:pPr>
      <w:r>
        <w:rPr>
          <w:rFonts w:hint="eastAsia" w:ascii="黑体" w:hAnsi="黑体" w:eastAsia="黑体" w:cs="黑体"/>
          <w:b/>
          <w:bCs/>
          <w:sz w:val="32"/>
          <w:szCs w:val="32"/>
        </w:rPr>
        <w:t>一、项目概况：</w:t>
      </w:r>
    </w:p>
    <w:p>
      <w:pPr>
        <w:tabs>
          <w:tab w:val="left" w:pos="1060"/>
          <w:tab w:val="left" w:pos="3360"/>
        </w:tabs>
        <w:adjustRightInd w:val="0"/>
        <w:snapToGrid w:val="0"/>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 xml:space="preserve"> 工程名称：尤家凹九年一贯制学校及幼儿园项目中小学南侧不稳定斜坡治理工程</w:t>
      </w:r>
    </w:p>
    <w:p>
      <w:pPr>
        <w:tabs>
          <w:tab w:val="left" w:pos="1060"/>
          <w:tab w:val="left" w:pos="3360"/>
        </w:tabs>
        <w:adjustRightInd w:val="0"/>
        <w:snapToGrid w:val="0"/>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 xml:space="preserve">工程地点：江苏省南京 </w:t>
      </w:r>
    </w:p>
    <w:p>
      <w:pPr>
        <w:numPr>
          <w:ilvl w:val="0"/>
          <w:numId w:val="1"/>
        </w:numPr>
        <w:tabs>
          <w:tab w:val="left" w:pos="3360"/>
        </w:tabs>
        <w:adjustRightInd w:val="0"/>
        <w:snapToGrid w:val="0"/>
        <w:spacing w:line="360" w:lineRule="auto"/>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报价信息：</w:t>
      </w:r>
    </w:p>
    <w:tbl>
      <w:tblPr>
        <w:tblStyle w:val="8"/>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797"/>
        <w:gridCol w:w="1984"/>
        <w:gridCol w:w="992"/>
        <w:gridCol w:w="1701"/>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noWrap w:val="0"/>
            <w:vAlign w:val="center"/>
          </w:tcPr>
          <w:p>
            <w:pPr>
              <w:tabs>
                <w:tab w:val="left" w:pos="3360"/>
              </w:tabs>
              <w:adjustRightInd w:val="0"/>
              <w:snapToGrid w:val="0"/>
              <w:spacing w:line="360" w:lineRule="auto"/>
              <w:jc w:val="center"/>
              <w:rPr>
                <w:rFonts w:hint="eastAsia" w:ascii="黑体" w:hAnsi="黑体" w:eastAsia="黑体" w:cs="黑体"/>
                <w:b/>
                <w:bCs/>
                <w:sz w:val="30"/>
                <w:szCs w:val="30"/>
              </w:rPr>
            </w:pPr>
            <w:r>
              <w:rPr>
                <w:rFonts w:hint="eastAsia" w:ascii="黑体" w:hAnsi="黑体" w:eastAsia="黑体" w:cs="黑体"/>
                <w:b/>
                <w:bCs/>
                <w:sz w:val="30"/>
                <w:szCs w:val="30"/>
              </w:rPr>
              <w:t>序号</w:t>
            </w:r>
          </w:p>
        </w:tc>
        <w:tc>
          <w:tcPr>
            <w:tcW w:w="1797" w:type="dxa"/>
            <w:noWrap w:val="0"/>
            <w:vAlign w:val="center"/>
          </w:tcPr>
          <w:p>
            <w:pPr>
              <w:tabs>
                <w:tab w:val="left" w:pos="3360"/>
              </w:tabs>
              <w:adjustRightInd w:val="0"/>
              <w:snapToGrid w:val="0"/>
              <w:spacing w:line="360" w:lineRule="auto"/>
              <w:jc w:val="center"/>
              <w:rPr>
                <w:rFonts w:hint="eastAsia" w:ascii="黑体" w:hAnsi="黑体" w:eastAsia="黑体" w:cs="黑体"/>
                <w:b/>
                <w:bCs/>
                <w:sz w:val="30"/>
                <w:szCs w:val="30"/>
              </w:rPr>
            </w:pPr>
            <w:r>
              <w:rPr>
                <w:rFonts w:hint="eastAsia" w:ascii="黑体" w:hAnsi="黑体" w:eastAsia="黑体" w:cs="黑体"/>
                <w:b/>
                <w:bCs/>
                <w:sz w:val="30"/>
                <w:szCs w:val="30"/>
              </w:rPr>
              <w:t>名称</w:t>
            </w:r>
          </w:p>
        </w:tc>
        <w:tc>
          <w:tcPr>
            <w:tcW w:w="1984" w:type="dxa"/>
            <w:noWrap w:val="0"/>
            <w:vAlign w:val="center"/>
          </w:tcPr>
          <w:p>
            <w:pPr>
              <w:tabs>
                <w:tab w:val="left" w:pos="3360"/>
              </w:tabs>
              <w:adjustRightInd w:val="0"/>
              <w:snapToGrid w:val="0"/>
              <w:spacing w:line="360" w:lineRule="auto"/>
              <w:jc w:val="center"/>
              <w:rPr>
                <w:rFonts w:hint="eastAsia" w:ascii="黑体" w:hAnsi="黑体" w:eastAsia="黑体" w:cs="黑体"/>
                <w:b/>
                <w:bCs/>
                <w:sz w:val="30"/>
                <w:szCs w:val="30"/>
              </w:rPr>
            </w:pPr>
            <w:r>
              <w:rPr>
                <w:rFonts w:hint="eastAsia" w:ascii="黑体" w:hAnsi="黑体" w:eastAsia="黑体" w:cs="黑体"/>
                <w:b/>
                <w:bCs/>
                <w:sz w:val="30"/>
                <w:szCs w:val="30"/>
              </w:rPr>
              <w:t>单位(规格)</w:t>
            </w:r>
          </w:p>
        </w:tc>
        <w:tc>
          <w:tcPr>
            <w:tcW w:w="992" w:type="dxa"/>
            <w:noWrap w:val="0"/>
            <w:vAlign w:val="center"/>
          </w:tcPr>
          <w:p>
            <w:pPr>
              <w:tabs>
                <w:tab w:val="left" w:pos="3360"/>
              </w:tabs>
              <w:adjustRightInd w:val="0"/>
              <w:snapToGrid w:val="0"/>
              <w:spacing w:line="360" w:lineRule="auto"/>
              <w:jc w:val="center"/>
              <w:rPr>
                <w:rFonts w:hint="eastAsia" w:ascii="黑体" w:hAnsi="黑体" w:eastAsia="黑体" w:cs="黑体"/>
                <w:b/>
                <w:bCs/>
                <w:sz w:val="30"/>
                <w:szCs w:val="30"/>
              </w:rPr>
            </w:pPr>
            <w:r>
              <w:rPr>
                <w:rFonts w:hint="eastAsia" w:ascii="黑体" w:hAnsi="黑体" w:eastAsia="黑体" w:cs="黑体"/>
                <w:b/>
                <w:bCs/>
                <w:sz w:val="30"/>
                <w:szCs w:val="30"/>
              </w:rPr>
              <w:t>暂定数量</w:t>
            </w:r>
          </w:p>
        </w:tc>
        <w:tc>
          <w:tcPr>
            <w:tcW w:w="1701" w:type="dxa"/>
            <w:noWrap w:val="0"/>
            <w:vAlign w:val="center"/>
          </w:tcPr>
          <w:p>
            <w:pPr>
              <w:tabs>
                <w:tab w:val="left" w:pos="3360"/>
              </w:tabs>
              <w:adjustRightInd w:val="0"/>
              <w:snapToGrid w:val="0"/>
              <w:spacing w:line="360" w:lineRule="auto"/>
              <w:jc w:val="center"/>
              <w:rPr>
                <w:rFonts w:hint="eastAsia" w:ascii="黑体" w:hAnsi="黑体" w:eastAsia="黑体" w:cs="黑体"/>
                <w:b/>
                <w:bCs/>
                <w:sz w:val="30"/>
                <w:szCs w:val="30"/>
              </w:rPr>
            </w:pPr>
            <w:r>
              <w:rPr>
                <w:rFonts w:hint="eastAsia" w:ascii="黑体" w:hAnsi="黑体" w:eastAsia="黑体" w:cs="黑体"/>
                <w:b/>
                <w:bCs/>
                <w:sz w:val="30"/>
                <w:szCs w:val="30"/>
              </w:rPr>
              <w:t>单价(元)</w:t>
            </w:r>
          </w:p>
        </w:tc>
        <w:tc>
          <w:tcPr>
            <w:tcW w:w="1151" w:type="dxa"/>
            <w:noWrap w:val="0"/>
            <w:vAlign w:val="center"/>
          </w:tcPr>
          <w:p>
            <w:pPr>
              <w:tabs>
                <w:tab w:val="left" w:pos="3360"/>
              </w:tabs>
              <w:adjustRightInd w:val="0"/>
              <w:snapToGrid w:val="0"/>
              <w:spacing w:line="360" w:lineRule="auto"/>
              <w:jc w:val="center"/>
              <w:rPr>
                <w:rFonts w:hint="eastAsia" w:ascii="黑体" w:hAnsi="黑体" w:eastAsia="黑体" w:cs="黑体"/>
                <w:b/>
                <w:bCs/>
                <w:sz w:val="30"/>
                <w:szCs w:val="30"/>
              </w:rPr>
            </w:pPr>
            <w:r>
              <w:rPr>
                <w:rFonts w:hint="eastAsia" w:ascii="黑体" w:hAnsi="黑体" w:eastAsia="黑体" w:cs="黑体"/>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hAnsi="宋体" w:cs="宋体"/>
                <w:sz w:val="24"/>
                <w:szCs w:val="24"/>
              </w:rPr>
            </w:pPr>
            <w:r>
              <w:rPr>
                <w:rFonts w:hint="eastAsia" w:hAnsi="宋体" w:cs="宋体"/>
                <w:sz w:val="24"/>
                <w:szCs w:val="24"/>
              </w:rPr>
              <w:t>1</w:t>
            </w:r>
          </w:p>
        </w:tc>
        <w:tc>
          <w:tcPr>
            <w:tcW w:w="1797" w:type="dxa"/>
            <w:noWrap w:val="0"/>
            <w:vAlign w:val="top"/>
          </w:tcPr>
          <w:p>
            <w:pPr>
              <w:jc w:val="left"/>
              <w:rPr>
                <w:rFonts w:hint="eastAsia" w:ascii="Times New Roman" w:hAnsi="Times New Roman"/>
              </w:rPr>
            </w:pPr>
            <w:r>
              <w:rPr>
                <w:rFonts w:hint="eastAsia" w:ascii="Times New Roman" w:hAnsi="Times New Roman"/>
              </w:rPr>
              <w:t>混凝土</w:t>
            </w:r>
          </w:p>
        </w:tc>
        <w:tc>
          <w:tcPr>
            <w:tcW w:w="1984" w:type="dxa"/>
            <w:noWrap w:val="0"/>
            <w:vAlign w:val="top"/>
          </w:tcPr>
          <w:p>
            <w:pPr>
              <w:jc w:val="left"/>
              <w:rPr>
                <w:rFonts w:hint="eastAsia" w:ascii="Times New Roman" w:hAnsi="Times New Roman"/>
              </w:rPr>
            </w:pPr>
            <w:r>
              <w:rPr>
                <w:rFonts w:hint="eastAsia" w:ascii="Times New Roman" w:hAnsi="Times New Roman"/>
              </w:rPr>
              <w:t>立方米</w:t>
            </w:r>
          </w:p>
        </w:tc>
        <w:tc>
          <w:tcPr>
            <w:tcW w:w="992" w:type="dxa"/>
            <w:noWrap w:val="0"/>
            <w:vAlign w:val="top"/>
          </w:tcPr>
          <w:p>
            <w:pPr>
              <w:jc w:val="left"/>
              <w:rPr>
                <w:rFonts w:hint="eastAsia" w:ascii="Times New Roman" w:hAnsi="Times New Roman"/>
              </w:rPr>
            </w:pPr>
            <w:r>
              <w:rPr>
                <w:rFonts w:hint="eastAsia" w:ascii="Times New Roman" w:hAnsi="Times New Roman"/>
              </w:rPr>
              <w:t>330</w:t>
            </w:r>
          </w:p>
        </w:tc>
        <w:tc>
          <w:tcPr>
            <w:tcW w:w="1701" w:type="dxa"/>
            <w:noWrap w:val="0"/>
            <w:vAlign w:val="center"/>
          </w:tcPr>
          <w:p>
            <w:pPr>
              <w:tabs>
                <w:tab w:val="left" w:pos="3360"/>
              </w:tabs>
              <w:adjustRightInd w:val="0"/>
              <w:snapToGrid w:val="0"/>
              <w:spacing w:line="360" w:lineRule="auto"/>
              <w:jc w:val="center"/>
              <w:rPr>
                <w:rFonts w:hint="eastAsia" w:hAnsi="宋体" w:cs="宋体"/>
                <w:sz w:val="24"/>
                <w:szCs w:val="24"/>
              </w:rPr>
            </w:pPr>
          </w:p>
        </w:tc>
        <w:tc>
          <w:tcPr>
            <w:tcW w:w="1151" w:type="dxa"/>
            <w:noWrap w:val="0"/>
            <w:vAlign w:val="top"/>
          </w:tcPr>
          <w:p>
            <w:pPr>
              <w:jc w:val="left"/>
              <w:rPr>
                <w:rFonts w:hint="eastAsia" w:ascii="Times New Roman" w:hAnsi="Times New Roman"/>
              </w:rPr>
            </w:pPr>
            <w:r>
              <w:rPr>
                <w:rFonts w:hint="eastAsia" w:ascii="Times New Roman" w:hAnsi="Times New Roman"/>
              </w:rPr>
              <w:t>C15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hAnsi="宋体" w:cs="宋体"/>
                <w:sz w:val="24"/>
                <w:szCs w:val="24"/>
              </w:rPr>
            </w:pPr>
            <w:r>
              <w:rPr>
                <w:rFonts w:hint="eastAsia" w:hAnsi="宋体" w:cs="宋体"/>
                <w:sz w:val="24"/>
                <w:szCs w:val="24"/>
              </w:rPr>
              <w:t>2</w:t>
            </w:r>
          </w:p>
        </w:tc>
        <w:tc>
          <w:tcPr>
            <w:tcW w:w="1797" w:type="dxa"/>
            <w:noWrap w:val="0"/>
            <w:vAlign w:val="top"/>
          </w:tcPr>
          <w:p>
            <w:pPr>
              <w:jc w:val="left"/>
              <w:rPr>
                <w:rFonts w:hint="eastAsia" w:ascii="Times New Roman" w:hAnsi="Times New Roman"/>
              </w:rPr>
            </w:pPr>
            <w:r>
              <w:rPr>
                <w:rFonts w:hint="eastAsia" w:ascii="Times New Roman" w:hAnsi="Times New Roman"/>
              </w:rPr>
              <w:t>混凝土</w:t>
            </w:r>
          </w:p>
        </w:tc>
        <w:tc>
          <w:tcPr>
            <w:tcW w:w="1984" w:type="dxa"/>
            <w:noWrap w:val="0"/>
            <w:vAlign w:val="top"/>
          </w:tcPr>
          <w:p>
            <w:pPr>
              <w:jc w:val="left"/>
              <w:rPr>
                <w:rFonts w:hint="eastAsia" w:ascii="Times New Roman" w:hAnsi="Times New Roman"/>
              </w:rPr>
            </w:pPr>
            <w:r>
              <w:rPr>
                <w:rFonts w:hint="eastAsia" w:ascii="Times New Roman" w:hAnsi="Times New Roman"/>
              </w:rPr>
              <w:t>立方米</w:t>
            </w:r>
          </w:p>
        </w:tc>
        <w:tc>
          <w:tcPr>
            <w:tcW w:w="992" w:type="dxa"/>
            <w:noWrap w:val="0"/>
            <w:vAlign w:val="top"/>
          </w:tcPr>
          <w:p>
            <w:pPr>
              <w:jc w:val="left"/>
              <w:rPr>
                <w:rFonts w:hint="eastAsia" w:ascii="Times New Roman" w:hAnsi="Times New Roman"/>
              </w:rPr>
            </w:pPr>
            <w:r>
              <w:rPr>
                <w:rFonts w:hint="eastAsia" w:ascii="Times New Roman" w:hAnsi="Times New Roman"/>
              </w:rPr>
              <w:t>3250</w:t>
            </w:r>
          </w:p>
        </w:tc>
        <w:tc>
          <w:tcPr>
            <w:tcW w:w="1701" w:type="dxa"/>
            <w:noWrap w:val="0"/>
            <w:vAlign w:val="center"/>
          </w:tcPr>
          <w:p>
            <w:pPr>
              <w:tabs>
                <w:tab w:val="left" w:pos="3360"/>
              </w:tabs>
              <w:adjustRightInd w:val="0"/>
              <w:snapToGrid w:val="0"/>
              <w:spacing w:line="360" w:lineRule="auto"/>
              <w:jc w:val="center"/>
              <w:rPr>
                <w:rFonts w:hint="eastAsia" w:hAnsi="宋体" w:cs="宋体"/>
                <w:sz w:val="24"/>
                <w:szCs w:val="24"/>
              </w:rPr>
            </w:pPr>
          </w:p>
        </w:tc>
        <w:tc>
          <w:tcPr>
            <w:tcW w:w="1151" w:type="dxa"/>
            <w:noWrap w:val="0"/>
            <w:vAlign w:val="top"/>
          </w:tcPr>
          <w:p>
            <w:pPr>
              <w:jc w:val="left"/>
              <w:rPr>
                <w:rFonts w:hint="eastAsia" w:ascii="Times New Roman" w:hAnsi="Times New Roman"/>
              </w:rPr>
            </w:pPr>
            <w:r>
              <w:rPr>
                <w:rFonts w:hint="eastAsia" w:ascii="Times New Roman" w:hAnsi="Times New Roman"/>
              </w:rPr>
              <w:t>C30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hAnsi="宋体" w:cs="宋体"/>
                <w:sz w:val="24"/>
                <w:szCs w:val="24"/>
              </w:rPr>
            </w:pPr>
            <w:r>
              <w:rPr>
                <w:rFonts w:hint="eastAsia" w:hAnsi="宋体" w:cs="宋体"/>
                <w:sz w:val="24"/>
                <w:szCs w:val="24"/>
              </w:rPr>
              <w:t>3</w:t>
            </w:r>
          </w:p>
        </w:tc>
        <w:tc>
          <w:tcPr>
            <w:tcW w:w="1797" w:type="dxa"/>
            <w:noWrap w:val="0"/>
            <w:vAlign w:val="top"/>
          </w:tcPr>
          <w:p>
            <w:pPr>
              <w:jc w:val="center"/>
              <w:rPr>
                <w:rFonts w:hint="eastAsia" w:hAnsi="宋体" w:cs="宋体"/>
                <w:color w:val="000000"/>
                <w:szCs w:val="24"/>
              </w:rPr>
            </w:pPr>
          </w:p>
        </w:tc>
        <w:tc>
          <w:tcPr>
            <w:tcW w:w="1984" w:type="dxa"/>
            <w:noWrap w:val="0"/>
            <w:vAlign w:val="top"/>
          </w:tcPr>
          <w:p>
            <w:pPr>
              <w:jc w:val="center"/>
              <w:rPr>
                <w:rFonts w:hint="eastAsia" w:hAnsi="宋体" w:cs="宋体"/>
                <w:color w:val="000000"/>
                <w:szCs w:val="24"/>
              </w:rPr>
            </w:pPr>
          </w:p>
        </w:tc>
        <w:tc>
          <w:tcPr>
            <w:tcW w:w="992" w:type="dxa"/>
            <w:noWrap w:val="0"/>
            <w:vAlign w:val="top"/>
          </w:tcPr>
          <w:p>
            <w:pPr>
              <w:jc w:val="center"/>
              <w:rPr>
                <w:rFonts w:hint="eastAsia" w:hAnsi="宋体" w:cs="宋体"/>
                <w:color w:val="000000"/>
                <w:szCs w:val="24"/>
              </w:rPr>
            </w:pPr>
          </w:p>
        </w:tc>
        <w:tc>
          <w:tcPr>
            <w:tcW w:w="1701" w:type="dxa"/>
            <w:noWrap w:val="0"/>
            <w:vAlign w:val="center"/>
          </w:tcPr>
          <w:p>
            <w:pPr>
              <w:tabs>
                <w:tab w:val="left" w:pos="3360"/>
              </w:tabs>
              <w:adjustRightInd w:val="0"/>
              <w:snapToGrid w:val="0"/>
              <w:spacing w:line="360" w:lineRule="auto"/>
              <w:jc w:val="center"/>
              <w:rPr>
                <w:rFonts w:hint="eastAsia" w:hAnsi="宋体" w:cs="宋体"/>
                <w:sz w:val="24"/>
                <w:szCs w:val="24"/>
              </w:rPr>
            </w:pPr>
          </w:p>
        </w:tc>
        <w:tc>
          <w:tcPr>
            <w:tcW w:w="1151" w:type="dxa"/>
            <w:noWrap w:val="0"/>
            <w:vAlign w:val="center"/>
          </w:tcPr>
          <w:p>
            <w:pPr>
              <w:tabs>
                <w:tab w:val="left" w:pos="3360"/>
              </w:tabs>
              <w:adjustRightInd w:val="0"/>
              <w:snapToGrid w:val="0"/>
              <w:spacing w:line="360" w:lineRule="auto"/>
              <w:jc w:val="lef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517" w:type="dxa"/>
            <w:gridSpan w:val="6"/>
            <w:noWrap w:val="0"/>
            <w:vAlign w:val="center"/>
          </w:tcPr>
          <w:p>
            <w:pPr>
              <w:tabs>
                <w:tab w:val="left" w:pos="3360"/>
              </w:tabs>
              <w:adjustRightInd w:val="0"/>
              <w:snapToGrid w:val="0"/>
              <w:spacing w:line="360" w:lineRule="auto"/>
              <w:ind w:firstLine="482" w:firstLineChars="200"/>
              <w:jc w:val="left"/>
              <w:rPr>
                <w:rFonts w:hAnsi="宋体" w:cs="宋体"/>
                <w:sz w:val="24"/>
                <w:szCs w:val="24"/>
              </w:rPr>
            </w:pPr>
            <w:r>
              <w:rPr>
                <w:rFonts w:hint="eastAsia" w:hAnsi="宋体" w:cs="宋体"/>
                <w:b/>
                <w:bCs/>
                <w:sz w:val="24"/>
                <w:szCs w:val="24"/>
              </w:rPr>
              <w:t>报价以采购当月南京商品混凝土信息指导价为基准进行幅度调整</w:t>
            </w:r>
          </w:p>
        </w:tc>
      </w:tr>
    </w:tbl>
    <w:p>
      <w:pPr>
        <w:tabs>
          <w:tab w:val="left" w:pos="3360"/>
        </w:tabs>
        <w:adjustRightInd w:val="0"/>
        <w:snapToGrid w:val="0"/>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注：1.以上报价是否含税：是</w:t>
      </w:r>
      <w:r>
        <w:rPr>
          <w:rFonts w:hint="eastAsia" w:ascii="黑体" w:hAnsi="黑体" w:eastAsia="黑体" w:cs="黑体"/>
          <w:sz w:val="32"/>
          <w:szCs w:val="32"/>
        </w:rPr>
        <w:sym w:font="Wingdings" w:char="00A8"/>
      </w:r>
      <w:r>
        <w:rPr>
          <w:rFonts w:hint="eastAsia" w:ascii="黑体" w:hAnsi="黑体" w:eastAsia="黑体" w:cs="黑体"/>
          <w:sz w:val="32"/>
          <w:szCs w:val="32"/>
        </w:rPr>
        <w:t>（税率：</w:t>
      </w:r>
      <w:r>
        <w:rPr>
          <w:rFonts w:hint="eastAsia" w:ascii="黑体" w:hAnsi="黑体" w:eastAsia="黑体" w:cs="黑体"/>
          <w:sz w:val="32"/>
          <w:szCs w:val="32"/>
          <w:u w:val="single"/>
        </w:rPr>
        <w:t xml:space="preserve">  </w:t>
      </w:r>
      <w:r>
        <w:rPr>
          <w:rFonts w:hint="eastAsia" w:ascii="黑体" w:hAnsi="黑体" w:eastAsia="黑体" w:cs="黑体"/>
          <w:sz w:val="32"/>
          <w:szCs w:val="32"/>
        </w:rPr>
        <w:t xml:space="preserve"> ％） 否</w:t>
      </w:r>
      <w:r>
        <w:rPr>
          <w:rFonts w:hint="eastAsia" w:ascii="黑体" w:hAnsi="黑体" w:eastAsia="黑体" w:cs="黑体"/>
          <w:sz w:val="32"/>
          <w:szCs w:val="32"/>
        </w:rPr>
        <w:sym w:font="Wingdings" w:char="F0A8"/>
      </w:r>
    </w:p>
    <w:p>
      <w:pPr>
        <w:tabs>
          <w:tab w:val="left" w:pos="3360"/>
        </w:tabs>
        <w:adjustRightInd w:val="0"/>
        <w:snapToGrid w:val="0"/>
        <w:spacing w:line="360" w:lineRule="auto"/>
        <w:ind w:firstLine="1257" w:firstLineChars="393"/>
        <w:jc w:val="left"/>
        <w:rPr>
          <w:rFonts w:hint="eastAsia" w:ascii="黑体" w:hAnsi="黑体" w:eastAsia="黑体" w:cs="黑体"/>
          <w:sz w:val="32"/>
          <w:szCs w:val="32"/>
        </w:rPr>
      </w:pPr>
      <w:r>
        <w:rPr>
          <w:rFonts w:hint="eastAsia" w:ascii="黑体" w:hAnsi="黑体" w:eastAsia="黑体" w:cs="黑体"/>
          <w:sz w:val="32"/>
          <w:szCs w:val="32"/>
        </w:rPr>
        <w:t>2.以上材料报价有效期为</w:t>
      </w:r>
      <w:r>
        <w:rPr>
          <w:rFonts w:hint="eastAsia" w:ascii="黑体" w:hAnsi="黑体" w:eastAsia="黑体" w:cs="黑体"/>
          <w:sz w:val="32"/>
          <w:szCs w:val="32"/>
          <w:u w:val="single"/>
        </w:rPr>
        <w:t>30</w:t>
      </w:r>
      <w:r>
        <w:rPr>
          <w:rFonts w:hint="eastAsia" w:ascii="黑体" w:hAnsi="黑体" w:eastAsia="黑体" w:cs="黑体"/>
          <w:sz w:val="32"/>
          <w:szCs w:val="32"/>
        </w:rPr>
        <w:t>天。</w:t>
      </w:r>
    </w:p>
    <w:p>
      <w:pPr>
        <w:numPr>
          <w:ilvl w:val="0"/>
          <w:numId w:val="1"/>
        </w:numPr>
        <w:tabs>
          <w:tab w:val="left" w:pos="3360"/>
        </w:tabs>
        <w:adjustRightInd w:val="0"/>
        <w:snapToGrid w:val="0"/>
        <w:spacing w:line="360" w:lineRule="auto"/>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结算方式：</w:t>
      </w:r>
    </w:p>
    <w:p>
      <w:pPr>
        <w:tabs>
          <w:tab w:val="left" w:pos="3360"/>
        </w:tabs>
        <w:adjustRightInd w:val="0"/>
        <w:snapToGrid w:val="0"/>
        <w:spacing w:line="360" w:lineRule="auto"/>
        <w:jc w:val="left"/>
        <w:rPr>
          <w:rFonts w:hint="eastAsia" w:ascii="黑体" w:hAnsi="黑体" w:eastAsia="黑体" w:cs="黑体"/>
          <w:sz w:val="32"/>
          <w:szCs w:val="32"/>
          <w:u w:val="single"/>
        </w:rPr>
      </w:pPr>
      <w:r>
        <w:rPr>
          <w:rFonts w:hint="eastAsia" w:ascii="黑体" w:hAnsi="黑体" w:eastAsia="黑体" w:cs="黑体"/>
          <w:sz w:val="32"/>
          <w:szCs w:val="32"/>
        </w:rPr>
        <w:sym w:font="Wingdings" w:char="F0A8"/>
      </w:r>
      <w:r>
        <w:rPr>
          <w:rFonts w:hint="eastAsia" w:ascii="黑体" w:hAnsi="黑体" w:eastAsia="黑体" w:cs="黑体"/>
          <w:sz w:val="32"/>
          <w:szCs w:val="32"/>
        </w:rPr>
        <w:t>1.商业承兑，接收比例或金额：</w:t>
      </w:r>
      <w:r>
        <w:rPr>
          <w:rFonts w:hint="eastAsia" w:ascii="黑体" w:hAnsi="黑体" w:eastAsia="黑体" w:cs="黑体"/>
          <w:sz w:val="32"/>
          <w:szCs w:val="32"/>
          <w:u w:val="single"/>
        </w:rPr>
        <w:t xml:space="preserve">                  </w:t>
      </w:r>
      <w:r>
        <w:rPr>
          <w:rFonts w:hint="eastAsia" w:ascii="黑体" w:hAnsi="黑体" w:eastAsia="黑体" w:cs="黑体"/>
          <w:sz w:val="32"/>
          <w:szCs w:val="32"/>
        </w:rPr>
        <w:t>。</w:t>
      </w:r>
    </w:p>
    <w:p>
      <w:pPr>
        <w:tabs>
          <w:tab w:val="left" w:pos="3360"/>
        </w:tabs>
        <w:adjustRightInd w:val="0"/>
        <w:snapToGrid w:val="0"/>
        <w:spacing w:line="360" w:lineRule="auto"/>
        <w:jc w:val="left"/>
        <w:rPr>
          <w:rFonts w:hint="eastAsia" w:ascii="黑体" w:hAnsi="黑体" w:eastAsia="黑体" w:cs="黑体"/>
          <w:sz w:val="32"/>
          <w:szCs w:val="32"/>
          <w:u w:val="single"/>
        </w:rPr>
      </w:pPr>
      <w:r>
        <w:rPr>
          <w:rFonts w:hint="eastAsia" w:ascii="黑体" w:hAnsi="黑体" w:eastAsia="黑体" w:cs="黑体"/>
          <w:sz w:val="32"/>
          <w:szCs w:val="32"/>
        </w:rPr>
        <w:sym w:font="Wingdings" w:char="F0A8"/>
      </w:r>
      <w:r>
        <w:rPr>
          <w:rFonts w:hint="eastAsia" w:ascii="黑体" w:hAnsi="黑体" w:eastAsia="黑体" w:cs="黑体"/>
          <w:sz w:val="32"/>
          <w:szCs w:val="32"/>
        </w:rPr>
        <w:t>2.银行承兑，接收比例或金额：</w:t>
      </w:r>
      <w:r>
        <w:rPr>
          <w:rFonts w:hint="eastAsia" w:ascii="黑体" w:hAnsi="黑体" w:eastAsia="黑体" w:cs="黑体"/>
          <w:sz w:val="32"/>
          <w:szCs w:val="32"/>
          <w:u w:val="single"/>
        </w:rPr>
        <w:t xml:space="preserve">                  </w:t>
      </w:r>
      <w:r>
        <w:rPr>
          <w:rFonts w:hint="eastAsia" w:ascii="黑体" w:hAnsi="黑体" w:eastAsia="黑体" w:cs="黑体"/>
          <w:sz w:val="32"/>
          <w:szCs w:val="32"/>
        </w:rPr>
        <w:t>。</w:t>
      </w:r>
    </w:p>
    <w:p>
      <w:pPr>
        <w:tabs>
          <w:tab w:val="left" w:pos="3360"/>
        </w:tabs>
        <w:adjustRightInd w:val="0"/>
        <w:snapToGrid w:val="0"/>
        <w:spacing w:line="360" w:lineRule="auto"/>
        <w:jc w:val="left"/>
        <w:rPr>
          <w:rFonts w:hint="eastAsia" w:ascii="黑体" w:hAnsi="黑体" w:eastAsia="黑体" w:cs="黑体"/>
          <w:sz w:val="32"/>
          <w:szCs w:val="32"/>
        </w:rPr>
      </w:pPr>
      <w:r>
        <w:rPr>
          <w:rFonts w:hint="eastAsia" w:ascii="黑体" w:hAnsi="黑体" w:eastAsia="黑体" w:cs="黑体"/>
          <w:sz w:val="32"/>
          <w:szCs w:val="32"/>
        </w:rPr>
        <w:sym w:font="Wingdings" w:char="F0A8"/>
      </w:r>
      <w:r>
        <w:rPr>
          <w:rFonts w:hint="eastAsia" w:ascii="黑体" w:hAnsi="黑体" w:eastAsia="黑体" w:cs="黑体"/>
          <w:sz w:val="32"/>
          <w:szCs w:val="32"/>
        </w:rPr>
        <w:t>3.现金结算。</w:t>
      </w:r>
    </w:p>
    <w:p>
      <w:pPr>
        <w:tabs>
          <w:tab w:val="left" w:pos="3360"/>
        </w:tabs>
        <w:adjustRightInd w:val="0"/>
        <w:snapToGrid w:val="0"/>
        <w:spacing w:line="360" w:lineRule="auto"/>
        <w:ind w:left="643"/>
        <w:jc w:val="left"/>
        <w:rPr>
          <w:rFonts w:hint="eastAsia" w:ascii="黑体" w:hAnsi="黑体" w:eastAsia="黑体" w:cs="黑体"/>
          <w:b/>
          <w:bCs/>
          <w:sz w:val="32"/>
          <w:szCs w:val="32"/>
        </w:rPr>
      </w:pPr>
      <w:r>
        <w:rPr>
          <w:rFonts w:hint="eastAsia" w:ascii="黑体" w:hAnsi="黑体" w:eastAsia="黑体" w:cs="黑体"/>
          <w:b/>
          <w:bCs/>
          <w:sz w:val="32"/>
          <w:szCs w:val="32"/>
        </w:rPr>
        <w:t>四、付款方式：</w:t>
      </w:r>
    </w:p>
    <w:p>
      <w:pPr>
        <w:tabs>
          <w:tab w:val="left" w:pos="3360"/>
        </w:tabs>
        <w:adjustRightInd w:val="0"/>
        <w:snapToGrid w:val="0"/>
        <w:spacing w:line="360" w:lineRule="auto"/>
        <w:ind w:left="643"/>
        <w:jc w:val="left"/>
        <w:rPr>
          <w:rFonts w:ascii="黑体" w:hAnsi="黑体" w:eastAsia="黑体" w:cs="黑体"/>
          <w:b/>
          <w:bCs/>
          <w:sz w:val="32"/>
          <w:szCs w:val="32"/>
          <w:u w:val="single"/>
        </w:rPr>
      </w:pPr>
      <w:r>
        <w:rPr>
          <w:rFonts w:hint="eastAsia" w:ascii="黑体" w:hAnsi="黑体" w:eastAsia="黑体" w:cs="黑体"/>
          <w:b/>
          <w:bCs/>
          <w:sz w:val="32"/>
          <w:szCs w:val="32"/>
          <w:u w:val="single"/>
        </w:rPr>
        <w:t xml:space="preserve">    根据采购当月实际采购量进行结算，次月结清款项。                                       </w:t>
      </w:r>
    </w:p>
    <w:p>
      <w:pPr>
        <w:tabs>
          <w:tab w:val="left" w:pos="3360"/>
        </w:tabs>
        <w:adjustRightInd w:val="0"/>
        <w:snapToGrid w:val="0"/>
        <w:spacing w:line="360" w:lineRule="auto"/>
        <w:jc w:val="left"/>
        <w:rPr>
          <w:rFonts w:hint="eastAsia" w:ascii="黑体" w:hAnsi="黑体" w:eastAsia="黑体" w:cs="黑体"/>
          <w:sz w:val="32"/>
          <w:szCs w:val="32"/>
        </w:rPr>
      </w:pPr>
      <w:r>
        <w:rPr>
          <w:rFonts w:hint="eastAsia" w:ascii="黑体" w:hAnsi="黑体" w:eastAsia="黑体" w:cs="黑体"/>
          <w:sz w:val="32"/>
          <w:szCs w:val="32"/>
        </w:rPr>
        <w:t>报价人（个人签字、单位盖章）：        代表：                    联系电话：</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黑体" w:hAnsi="黑体" w:eastAsia="黑体" w:cs="黑体"/>
          <w:sz w:val="32"/>
          <w:szCs w:val="32"/>
        </w:rPr>
        <w:t>报价日期：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YmEyMjZhYTZhNDdkN2I3YTI0OWRiMDYwMWJmOTMifQ=="/>
  </w:docVars>
  <w:rsids>
    <w:rsidRoot w:val="00000000"/>
    <w:rsid w:val="36B559F4"/>
    <w:rsid w:val="415A60B4"/>
    <w:rsid w:val="6FA86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kern w:val="2"/>
      <w:sz w:val="21"/>
      <w:lang w:val="en-US" w:eastAsia="zh-CN" w:bidi="ar-SA"/>
    </w:rPr>
  </w:style>
  <w:style w:type="paragraph" w:styleId="7">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标4"/>
    <w:basedOn w:val="3"/>
    <w:next w:val="1"/>
    <w:qFormat/>
    <w:uiPriority w:val="99"/>
    <w:pPr>
      <w:ind w:firstLine="560"/>
      <w:jc w:val="left"/>
      <w:outlineLvl w:val="3"/>
    </w:pPr>
  </w:style>
  <w:style w:type="paragraph" w:customStyle="1" w:styleId="3">
    <w:name w:val="标3"/>
    <w:basedOn w:val="4"/>
    <w:next w:val="1"/>
    <w:qFormat/>
    <w:uiPriority w:val="99"/>
    <w:pPr>
      <w:outlineLvl w:val="2"/>
    </w:pPr>
    <w:rPr>
      <w:rFonts w:ascii="宋体" w:hAnsi="宋体"/>
    </w:rPr>
  </w:style>
  <w:style w:type="paragraph" w:customStyle="1" w:styleId="4">
    <w:name w:val="标2"/>
    <w:basedOn w:val="5"/>
    <w:qFormat/>
    <w:uiPriority w:val="99"/>
    <w:pPr>
      <w:keepNext/>
      <w:keepLines/>
      <w:spacing w:beforeLines="0"/>
      <w:outlineLvl w:val="1"/>
    </w:pPr>
    <w:rPr>
      <w:rFonts w:ascii="黑体" w:hAnsi="黑体" w:cs="宋体"/>
      <w:b w:val="0"/>
      <w:sz w:val="28"/>
      <w:szCs w:val="20"/>
    </w:rPr>
  </w:style>
  <w:style w:type="paragraph" w:customStyle="1" w:styleId="5">
    <w:name w:val="标1"/>
    <w:basedOn w:val="6"/>
    <w:qFormat/>
    <w:uiPriority w:val="99"/>
    <w:pPr>
      <w:adjustRightInd w:val="0"/>
      <w:spacing w:beforeLines="50" w:afterLines="50"/>
    </w:pPr>
    <w:rPr>
      <w:kern w:val="24"/>
      <w:sz w:val="30"/>
      <w:szCs w:val="24"/>
    </w:rPr>
  </w:style>
  <w:style w:type="paragraph" w:styleId="6">
    <w:name w:val="Title"/>
    <w:basedOn w:val="1"/>
    <w:next w:val="1"/>
    <w:qFormat/>
    <w:uiPriority w:val="1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2022-10-19T08:00:00Z</dcterms:created>
  <dc:creator>晴天</dc:creator>
  <cp:lastModifiedBy>Liu</cp:lastModifiedBy>
  <dcterms:modified xsi:type="dcterms:W3CDTF">2023-08-23T08:06:42Z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DE05A23937EC4A19B450D73E39CEBCB6_12</vt:lpwstr>
  </property>
</Properties>
</file>