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lang w:val="en-US" w:eastAsia="zh-CN"/>
        </w:rPr>
        <w:t>中煤长江生态环境科技</w:t>
      </w:r>
      <w:r>
        <w:rPr>
          <w:rFonts w:hint="eastAsia" w:ascii="仿宋" w:hAnsi="仿宋" w:eastAsia="仿宋" w:cs="仿宋"/>
          <w:sz w:val="48"/>
          <w:szCs w:val="48"/>
          <w:lang w:eastAsia="zh-CN"/>
        </w:rPr>
        <w:t>有限公司金芒果产业园供电外线接入土建工程</w:t>
      </w:r>
      <w:r>
        <w:rPr>
          <w:rFonts w:hint="eastAsia" w:ascii="仿宋" w:hAnsi="仿宋" w:eastAsia="仿宋" w:cs="仿宋"/>
          <w:sz w:val="48"/>
          <w:szCs w:val="48"/>
          <w:lang w:val="en-US" w:eastAsia="zh-CN"/>
        </w:rPr>
        <w:t>土石方工程比选</w:t>
      </w:r>
      <w:r>
        <w:rPr>
          <w:rFonts w:hint="eastAsia" w:ascii="仿宋" w:hAnsi="仿宋" w:eastAsia="仿宋" w:cs="仿宋"/>
          <w:sz w:val="48"/>
          <w:szCs w:val="48"/>
          <w:lang w:eastAsia="zh-CN"/>
        </w:rPr>
        <w:t>采购响应文件</w:t>
      </w:r>
    </w:p>
    <w:p>
      <w:pPr>
        <w:pStyle w:val="4"/>
        <w:rPr>
          <w:rFonts w:hint="eastAsia" w:ascii="仿宋" w:hAnsi="仿宋" w:eastAsia="仿宋" w:cs="仿宋"/>
        </w:rPr>
      </w:pPr>
    </w:p>
    <w:p>
      <w:pPr>
        <w:pStyle w:val="4"/>
        <w:rPr>
          <w:rFonts w:hint="eastAsia" w:ascii="仿宋" w:hAnsi="仿宋" w:eastAsia="仿宋" w:cs="仿宋"/>
        </w:rPr>
      </w:pPr>
    </w:p>
    <w:p>
      <w:pPr>
        <w:jc w:val="center"/>
        <w:rPr>
          <w:rFonts w:hint="default" w:ascii="仿宋" w:hAnsi="仿宋" w:eastAsia="仿宋" w:cs="仿宋"/>
          <w:bCs/>
          <w:sz w:val="32"/>
          <w:szCs w:val="32"/>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ZMCJHJ-CG-2023011</w:t>
      </w: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6"/>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4"/>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6"/>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3"/>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中煤长江生态环境科技有限公司土石方外运工程采购</w:t>
      </w:r>
      <w:r>
        <w:rPr>
          <w:rFonts w:hint="eastAsia" w:ascii="仿宋" w:hAnsi="仿宋" w:eastAsia="仿宋" w:cs="仿宋"/>
          <w:sz w:val="44"/>
          <w:szCs w:val="44"/>
        </w:rPr>
        <w:t>报价单</w:t>
      </w: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5"/>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w:t>
      </w:r>
      <w:r>
        <w:rPr>
          <w:rFonts w:hint="eastAsia" w:ascii="仿宋_GB2312" w:hAnsi="仿宋_GB2312" w:eastAsia="仿宋_GB2312" w:cs="仿宋_GB2312"/>
          <w:color w:val="auto"/>
          <w:kern w:val="0"/>
          <w:sz w:val="32"/>
          <w:szCs w:val="32"/>
          <w:lang w:val="en-US" w:eastAsia="zh-CN" w:bidi="ar-SA"/>
        </w:rPr>
        <w:t>金芒果产业园供电外线接入土建工程</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_GB2312" w:hAnsi="仿宋_GB2312" w:eastAsia="仿宋_GB2312" w:cs="仿宋_GB2312"/>
          <w:color w:val="auto"/>
          <w:kern w:val="0"/>
          <w:sz w:val="32"/>
          <w:szCs w:val="32"/>
          <w:lang w:val="en-US" w:eastAsia="zh-CN" w:bidi="ar-SA"/>
        </w:rPr>
        <w:t>江苏省南京市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7"/>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7"/>
        <w:gridCol w:w="1100"/>
        <w:gridCol w:w="1000"/>
        <w:gridCol w:w="1578"/>
        <w:gridCol w:w="1467"/>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28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10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100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5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46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2085"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施工内容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287"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default" w:ascii="宋体" w:hAnsi="宋体" w:eastAsia="宋体" w:cs="黑体"/>
                <w:snapToGrid w:val="0"/>
                <w:color w:val="000000"/>
                <w:kern w:val="2"/>
                <w:sz w:val="21"/>
                <w:szCs w:val="21"/>
                <w:lang w:val="en-US" w:eastAsia="zh-CN" w:bidi="ar-SA"/>
              </w:rPr>
            </w:pPr>
            <w:r>
              <w:rPr>
                <w:rFonts w:hint="eastAsia" w:ascii="宋体" w:hAnsi="宋体" w:eastAsia="宋体" w:cs="黑体"/>
                <w:snapToGrid w:val="0"/>
                <w:color w:val="000000"/>
                <w:kern w:val="2"/>
                <w:sz w:val="21"/>
                <w:szCs w:val="21"/>
                <w:lang w:val="en-US" w:eastAsia="zh-CN" w:bidi="ar-SA"/>
              </w:rPr>
              <w:t>土石方外运工程</w:t>
            </w:r>
          </w:p>
        </w:tc>
        <w:tc>
          <w:tcPr>
            <w:tcW w:w="1100" w:type="dxa"/>
            <w:noWrap w:val="0"/>
            <w:vAlign w:val="center"/>
          </w:tcPr>
          <w:p>
            <w:pPr>
              <w:keepNext w:val="0"/>
              <w:keepLines w:val="0"/>
              <w:widowControl w:val="0"/>
              <w:suppressLineNumbers w:val="0"/>
              <w:spacing w:before="0" w:beforeAutospacing="0" w:after="0" w:afterAutospacing="0" w:line="480" w:lineRule="exact"/>
              <w:ind w:left="0" w:leftChars="0" w:right="0" w:rightChars="0" w:firstLine="0" w:firstLineChars="0"/>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立方米</w:t>
            </w:r>
          </w:p>
        </w:tc>
        <w:tc>
          <w:tcPr>
            <w:tcW w:w="1000"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default" w:ascii="宋体" w:hAnsi="宋体" w:eastAsia="宋体" w:cs="黑体"/>
                <w:snapToGrid w:val="0"/>
                <w:color w:val="000000"/>
                <w:kern w:val="2"/>
                <w:sz w:val="21"/>
                <w:szCs w:val="21"/>
                <w:lang w:val="en-US" w:eastAsia="zh-CN" w:bidi="ar-SA"/>
              </w:rPr>
            </w:pPr>
            <w:r>
              <w:rPr>
                <w:rFonts w:hint="eastAsia" w:ascii="宋体" w:hAnsi="宋体" w:eastAsia="宋体" w:cs="黑体"/>
                <w:snapToGrid w:val="0"/>
                <w:color w:val="000000"/>
                <w:kern w:val="2"/>
                <w:sz w:val="21"/>
                <w:szCs w:val="21"/>
                <w:lang w:val="en-US" w:eastAsia="zh-CN" w:bidi="ar-SA"/>
              </w:rPr>
              <w:t>1200</w:t>
            </w:r>
          </w:p>
        </w:tc>
        <w:tc>
          <w:tcPr>
            <w:tcW w:w="15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146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2085" w:type="dxa"/>
            <w:noWrap w:val="0"/>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2"/>
                <w:sz w:val="15"/>
                <w:szCs w:val="15"/>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lang w:eastAsia="zh-CN"/>
              </w:rPr>
            </w:pPr>
          </w:p>
        </w:tc>
        <w:tc>
          <w:tcPr>
            <w:tcW w:w="1287"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合计</w:t>
            </w:r>
          </w:p>
        </w:tc>
        <w:tc>
          <w:tcPr>
            <w:tcW w:w="1100" w:type="dxa"/>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Arial" w:hAnsi="Arial" w:eastAsia="Arial" w:cs="Arial"/>
                <w:snapToGrid w:val="0"/>
                <w:color w:val="000000"/>
                <w:sz w:val="21"/>
                <w:szCs w:val="21"/>
                <w:lang w:val="en-US" w:eastAsia="en-US" w:bidi="ar-SA"/>
              </w:rPr>
            </w:pPr>
          </w:p>
        </w:tc>
        <w:tc>
          <w:tcPr>
            <w:tcW w:w="1000"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eastAsia" w:ascii="宋体" w:hAnsi="宋体" w:eastAsia="宋体" w:cs="黑体"/>
                <w:snapToGrid w:val="0"/>
                <w:color w:val="000000"/>
                <w:kern w:val="2"/>
                <w:sz w:val="21"/>
                <w:szCs w:val="21"/>
                <w:lang w:val="en-US" w:eastAsia="en-US" w:bidi="ar-SA"/>
              </w:rPr>
            </w:pPr>
          </w:p>
        </w:tc>
        <w:tc>
          <w:tcPr>
            <w:tcW w:w="15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1467"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2085"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left"/>
              <w:textAlignment w:val="center"/>
              <w:rPr>
                <w:rFonts w:hint="eastAsia" w:ascii="宋体" w:hAnsi="宋体" w:eastAsia="宋体" w:cs="黑体"/>
                <w:snapToGrid w:val="0"/>
                <w:color w:val="000000"/>
                <w:kern w:val="2"/>
                <w:sz w:val="18"/>
                <w:szCs w:val="18"/>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6"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firstLine="2400" w:firstLineChars="1000"/>
              <w:jc w:val="left"/>
              <w:rPr>
                <w:rFonts w:hint="eastAsia" w:ascii="仿宋" w:hAnsi="仿宋" w:eastAsia="仿宋" w:cs="仿宋"/>
                <w:sz w:val="24"/>
                <w:szCs w:val="24"/>
                <w:lang w:val="en-US" w:eastAsia="zh-CN"/>
              </w:rPr>
            </w:pPr>
          </w:p>
        </w:tc>
        <w:tc>
          <w:tcPr>
            <w:tcW w:w="8517" w:type="dxa"/>
            <w:gridSpan w:val="6"/>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9</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u w:val="single"/>
        </w:rPr>
        <w:t>本项目无预付款；项目竣工</w:t>
      </w:r>
      <w:r>
        <w:rPr>
          <w:rFonts w:hint="eastAsia" w:ascii="仿宋" w:hAnsi="仿宋" w:eastAsia="仿宋" w:cs="仿宋"/>
          <w:sz w:val="32"/>
          <w:szCs w:val="32"/>
          <w:u w:val="single"/>
          <w:lang w:val="en-US" w:eastAsia="zh-CN"/>
        </w:rPr>
        <w:t>验收合格</w:t>
      </w:r>
      <w:r>
        <w:rPr>
          <w:rFonts w:hint="eastAsia" w:ascii="仿宋" w:hAnsi="仿宋" w:eastAsia="仿宋" w:cs="仿宋"/>
          <w:sz w:val="32"/>
          <w:szCs w:val="32"/>
          <w:u w:val="single"/>
        </w:rPr>
        <w:t>后支付至甲乙双方结算价的97％，剩余尾款待竣工验收</w:t>
      </w:r>
      <w:bookmarkStart w:id="0" w:name="_GoBack"/>
      <w:bookmarkEnd w:id="0"/>
      <w:r>
        <w:rPr>
          <w:rFonts w:hint="eastAsia" w:ascii="仿宋" w:hAnsi="仿宋" w:eastAsia="仿宋" w:cs="仿宋"/>
          <w:sz w:val="32"/>
          <w:szCs w:val="32"/>
          <w:u w:val="single"/>
        </w:rPr>
        <w:t>合格</w:t>
      </w:r>
      <w:r>
        <w:rPr>
          <w:rFonts w:hint="eastAsia" w:ascii="仿宋" w:hAnsi="仿宋" w:eastAsia="仿宋" w:cs="仿宋"/>
          <w:sz w:val="32"/>
          <w:szCs w:val="32"/>
          <w:u w:val="single"/>
          <w:lang w:val="en-US" w:eastAsia="zh-CN"/>
        </w:rPr>
        <w:t>二</w:t>
      </w:r>
      <w:r>
        <w:rPr>
          <w:rFonts w:hint="eastAsia" w:ascii="仿宋" w:hAnsi="仿宋" w:eastAsia="仿宋" w:cs="仿宋"/>
          <w:sz w:val="32"/>
          <w:szCs w:val="32"/>
          <w:u w:val="single"/>
        </w:rPr>
        <w:t>年后无息付清。</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5"/>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2"/>
        <w:tabs>
          <w:tab w:val="left" w:pos="3149"/>
        </w:tabs>
        <w:overflowPunct w:val="0"/>
        <w:ind w:right="68"/>
        <w:jc w:val="cente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2"/>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000000"/>
    <w:rsid w:val="04803322"/>
    <w:rsid w:val="09EA794C"/>
    <w:rsid w:val="0A764C3F"/>
    <w:rsid w:val="0B611E33"/>
    <w:rsid w:val="1329051A"/>
    <w:rsid w:val="15F07F9B"/>
    <w:rsid w:val="1A3065B9"/>
    <w:rsid w:val="2368599B"/>
    <w:rsid w:val="273F4EDF"/>
    <w:rsid w:val="2F911A4F"/>
    <w:rsid w:val="37530DAA"/>
    <w:rsid w:val="37D149B8"/>
    <w:rsid w:val="44895E7B"/>
    <w:rsid w:val="4D7B7443"/>
    <w:rsid w:val="5180327A"/>
    <w:rsid w:val="6618099D"/>
    <w:rsid w:val="66DD1AC8"/>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2"/>
    <w:basedOn w:val="1"/>
    <w:qFormat/>
    <w:uiPriority w:val="0"/>
    <w:pPr>
      <w:spacing w:after="120" w:line="480" w:lineRule="auto"/>
      <w:ind w:left="420" w:firstLine="539"/>
    </w:pPr>
    <w:rPr>
      <w:rFonts w:ascii="Times New Roman" w:hAnsi="Times New Roman"/>
      <w:sz w:val="28"/>
    </w:rPr>
  </w:style>
  <w:style w:type="paragraph" w:styleId="4">
    <w:name w:val="toc 2"/>
    <w:basedOn w:val="1"/>
    <w:next w:val="1"/>
    <w:qFormat/>
    <w:uiPriority w:val="39"/>
    <w:pPr>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rPr>
      <w:rFonts w:ascii="Calibri" w:hAnsi="Calibri" w:eastAsia="宋体" w:cs="Times New Roman"/>
      <w:szCs w:val="22"/>
    </w:rPr>
  </w:style>
  <w:style w:type="paragraph" w:styleId="9">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2024-01-03T07:25:35Z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76BDB758E38F428898F96D622C4C9316_13</vt:lpwstr>
  </property>
</Properties>
</file>