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hint="eastAsia" w:ascii="仿宋" w:hAnsi="仿宋" w:eastAsia="仿宋" w:cs="仿宋"/>
          <w:sz w:val="48"/>
          <w:szCs w:val="48"/>
        </w:rPr>
      </w:pPr>
      <w:r>
        <w:rPr>
          <w:rFonts w:hint="eastAsia" w:ascii="仿宋" w:hAnsi="仿宋" w:eastAsia="仿宋" w:cs="仿宋"/>
          <w:sz w:val="48"/>
          <w:szCs w:val="48"/>
        </w:rPr>
        <w:t>中煤长江地质集团有限公司</w:t>
      </w:r>
      <w:r>
        <w:rPr>
          <w:rFonts w:hint="eastAsia" w:ascii="仿宋" w:hAnsi="仿宋" w:eastAsia="仿宋" w:cs="仿宋"/>
          <w:sz w:val="48"/>
          <w:szCs w:val="48"/>
          <w:lang w:val="en-US" w:eastAsia="zh-CN"/>
        </w:rPr>
        <w:t>西咸新区2023年0.7万亩高标准农田建设项目机电材料询价采购</w:t>
      </w:r>
      <w:r>
        <w:rPr>
          <w:rFonts w:hint="eastAsia" w:ascii="仿宋" w:hAnsi="仿宋" w:eastAsia="仿宋" w:cs="仿宋"/>
          <w:sz w:val="48"/>
          <w:szCs w:val="48"/>
          <w:lang w:eastAsia="zh-CN"/>
        </w:rPr>
        <w:t>响应</w:t>
      </w:r>
      <w:r>
        <w:rPr>
          <w:rFonts w:hint="eastAsia" w:ascii="仿宋" w:hAnsi="仿宋" w:eastAsia="仿宋" w:cs="仿宋"/>
          <w:sz w:val="48"/>
          <w:szCs w:val="48"/>
        </w:rPr>
        <w:t>文件</w:t>
      </w:r>
    </w:p>
    <w:p>
      <w:pPr>
        <w:pStyle w:val="4"/>
        <w:rPr>
          <w:rFonts w:hint="eastAsia" w:ascii="仿宋" w:hAnsi="仿宋" w:eastAsia="仿宋" w:cs="仿宋"/>
        </w:rPr>
      </w:pPr>
    </w:p>
    <w:p>
      <w:pPr>
        <w:pStyle w:val="4"/>
        <w:rPr>
          <w:rFonts w:hint="eastAsia" w:ascii="仿宋" w:hAnsi="仿宋" w:eastAsia="仿宋" w:cs="仿宋"/>
        </w:rPr>
      </w:pPr>
    </w:p>
    <w:p>
      <w:pPr>
        <w:jc w:val="center"/>
        <w:rPr>
          <w:rFonts w:hint="eastAsia" w:ascii="仿宋" w:hAnsi="仿宋" w:eastAsia="仿宋" w:cs="仿宋"/>
          <w:bCs/>
          <w:sz w:val="32"/>
          <w:szCs w:val="32"/>
          <w:lang w:eastAsia="zh-CN"/>
        </w:rPr>
      </w:pPr>
      <w:r>
        <w:rPr>
          <w:rFonts w:hint="eastAsia" w:ascii="仿宋" w:hAnsi="仿宋" w:eastAsia="仿宋" w:cs="仿宋"/>
          <w:b/>
          <w:bCs/>
          <w:sz w:val="32"/>
          <w:szCs w:val="32"/>
          <w:lang w:eastAsia="zh-CN"/>
        </w:rPr>
        <w:t>采购</w:t>
      </w:r>
      <w:r>
        <w:rPr>
          <w:rFonts w:hint="eastAsia" w:ascii="仿宋" w:hAnsi="仿宋" w:eastAsia="仿宋" w:cs="仿宋"/>
          <w:b/>
          <w:bCs/>
          <w:sz w:val="32"/>
          <w:szCs w:val="32"/>
        </w:rPr>
        <w:t>编号：</w:t>
      </w:r>
      <w:r>
        <w:rPr>
          <w:rFonts w:hint="eastAsia" w:ascii="仿宋_GB2312" w:hAnsi="仿宋_GB2312" w:eastAsia="仿宋_GB2312" w:cs="仿宋_GB2312"/>
          <w:color w:val="auto"/>
          <w:kern w:val="0"/>
          <w:sz w:val="32"/>
          <w:szCs w:val="32"/>
          <w:lang w:val="en-US" w:eastAsia="zh-CN" w:bidi="ar-SA"/>
        </w:rPr>
        <w:t>ZMCJ-CG-2024-02-2</w:t>
      </w: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6"/>
        <w:ind w:firstLine="0" w:firstLineChars="0"/>
        <w:rPr>
          <w:rFonts w:hint="eastAsia" w:ascii="仿宋" w:hAnsi="仿宋" w:eastAsia="仿宋" w:cs="仿宋"/>
          <w:color w:val="auto"/>
          <w:sz w:val="44"/>
          <w:szCs w:val="44"/>
        </w:rPr>
      </w:pPr>
    </w:p>
    <w:p>
      <w:pPr>
        <w:pStyle w:val="6"/>
        <w:ind w:firstLine="0" w:firstLineChars="0"/>
        <w:rPr>
          <w:rFonts w:hint="eastAsia" w:ascii="仿宋" w:hAnsi="仿宋" w:eastAsia="仿宋" w:cs="仿宋"/>
          <w:color w:val="auto"/>
          <w:sz w:val="44"/>
          <w:szCs w:val="44"/>
        </w:rPr>
      </w:pPr>
    </w:p>
    <w:p>
      <w:pPr>
        <w:pStyle w:val="6"/>
        <w:ind w:firstLine="0" w:firstLineChars="0"/>
        <w:rPr>
          <w:rFonts w:hint="eastAsia" w:ascii="仿宋" w:hAnsi="仿宋" w:eastAsia="仿宋" w:cs="仿宋"/>
          <w:color w:val="auto"/>
          <w:sz w:val="44"/>
          <w:szCs w:val="44"/>
        </w:rPr>
      </w:pPr>
    </w:p>
    <w:p>
      <w:pPr>
        <w:pStyle w:val="6"/>
        <w:ind w:firstLine="0" w:firstLineChars="0"/>
        <w:rPr>
          <w:rFonts w:hint="eastAsia" w:ascii="仿宋" w:hAnsi="仿宋" w:eastAsia="仿宋" w:cs="仿宋"/>
          <w:color w:val="auto"/>
          <w:sz w:val="44"/>
          <w:szCs w:val="44"/>
        </w:rPr>
      </w:pPr>
    </w:p>
    <w:p>
      <w:pPr>
        <w:pStyle w:val="6"/>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投标单位：</w:t>
      </w:r>
    </w:p>
    <w:p>
      <w:pPr>
        <w:pStyle w:val="6"/>
        <w:ind w:firstLine="320"/>
        <w:rPr>
          <w:rFonts w:hint="eastAsia" w:ascii="仿宋" w:hAnsi="仿宋" w:eastAsia="仿宋" w:cs="仿宋"/>
          <w:color w:val="auto"/>
          <w:sz w:val="32"/>
          <w:szCs w:val="32"/>
        </w:rPr>
      </w:pPr>
    </w:p>
    <w:p>
      <w:pPr>
        <w:ind w:firstLine="640" w:firstLineChars="200"/>
        <w:textAlignment w:val="center"/>
        <w:rPr>
          <w:rFonts w:hint="eastAsia" w:ascii="仿宋" w:hAnsi="仿宋" w:eastAsia="仿宋" w:cs="仿宋"/>
          <w:sz w:val="32"/>
          <w:szCs w:val="32"/>
        </w:rPr>
      </w:pPr>
      <w:r>
        <w:rPr>
          <w:rFonts w:hint="eastAsia" w:ascii="仿宋" w:hAnsi="仿宋" w:eastAsia="仿宋" w:cs="仿宋"/>
          <w:sz w:val="32"/>
          <w:szCs w:val="32"/>
        </w:rPr>
        <w:t>联系人：</w:t>
      </w:r>
    </w:p>
    <w:p>
      <w:pPr>
        <w:pStyle w:val="4"/>
        <w:rPr>
          <w:rFonts w:hint="eastAsia" w:ascii="仿宋" w:hAnsi="仿宋" w:eastAsia="仿宋" w:cs="仿宋"/>
          <w:lang w:eastAsia="zh-CN"/>
        </w:rPr>
      </w:pPr>
      <w:r>
        <w:rPr>
          <w:rFonts w:hint="eastAsia" w:ascii="仿宋" w:hAnsi="仿宋" w:eastAsia="仿宋" w:cs="仿宋"/>
          <w:lang w:eastAsia="zh-CN"/>
        </w:rPr>
        <w:t xml:space="preserve">  </w:t>
      </w:r>
    </w:p>
    <w:p>
      <w:pPr>
        <w:rPr>
          <w:rFonts w:hint="eastAsia" w:ascii="仿宋" w:hAnsi="仿宋" w:eastAsia="仿宋" w:cs="仿宋"/>
          <w:lang w:eastAsia="zh-CN"/>
        </w:rPr>
      </w:pPr>
    </w:p>
    <w:p>
      <w:pPr>
        <w:pStyle w:val="6"/>
        <w:ind w:firstLine="640" w:firstLineChars="200"/>
        <w:rPr>
          <w:rFonts w:hint="eastAsia" w:ascii="仿宋" w:hAnsi="仿宋" w:eastAsia="仿宋" w:cs="仿宋"/>
          <w:snapToGrid/>
          <w:color w:val="333333"/>
          <w:sz w:val="32"/>
          <w:szCs w:val="32"/>
          <w:highlight w:val="yellow"/>
        </w:rPr>
      </w:pPr>
      <w:r>
        <w:rPr>
          <w:rFonts w:hint="eastAsia" w:ascii="仿宋" w:hAnsi="仿宋" w:eastAsia="仿宋" w:cs="仿宋"/>
          <w:color w:val="auto"/>
          <w:sz w:val="32"/>
          <w:szCs w:val="32"/>
        </w:rPr>
        <w:t>联系方式：</w:t>
      </w:r>
    </w:p>
    <w:p>
      <w:pPr>
        <w:widowControl w:val="0"/>
        <w:kinsoku/>
        <w:autoSpaceDE/>
        <w:autoSpaceDN/>
        <w:adjustRightInd/>
        <w:snapToGrid/>
        <w:jc w:val="both"/>
        <w:textAlignment w:val="auto"/>
        <w:rPr>
          <w:rFonts w:hint="eastAsia" w:ascii="仿宋" w:hAnsi="仿宋" w:eastAsia="仿宋" w:cs="仿宋"/>
          <w:snapToGrid/>
          <w:color w:val="333333"/>
          <w:sz w:val="32"/>
          <w:szCs w:val="32"/>
          <w:highlight w:val="yellow"/>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spacing w:line="400" w:lineRule="exact"/>
        <w:jc w:val="center"/>
        <w:rPr>
          <w:rFonts w:hint="eastAsia" w:ascii="仿宋" w:hAnsi="仿宋" w:eastAsia="仿宋" w:cs="仿宋"/>
          <w:b/>
          <w:bCs/>
          <w:sz w:val="36"/>
        </w:rPr>
      </w:pPr>
      <w:r>
        <w:rPr>
          <w:rFonts w:hint="eastAsia" w:ascii="仿宋" w:hAnsi="仿宋" w:eastAsia="仿宋" w:cs="仿宋"/>
          <w:b/>
          <w:bCs/>
          <w:sz w:val="36"/>
        </w:rPr>
        <w:t>法定代表人身份证明</w:t>
      </w:r>
    </w:p>
    <w:p>
      <w:pPr>
        <w:spacing w:line="360" w:lineRule="auto"/>
        <w:ind w:firstLine="400" w:firstLineChars="200"/>
        <w:rPr>
          <w:rFonts w:hint="eastAsia" w:ascii="仿宋" w:hAnsi="仿宋" w:eastAsia="仿宋" w:cs="仿宋"/>
          <w:sz w:val="20"/>
          <w:szCs w:val="20"/>
        </w:rPr>
      </w:pP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投标人名称：</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单位性质：</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地址：</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经营期限：</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姓名：</w:t>
      </w:r>
      <w:r>
        <w:rPr>
          <w:rFonts w:hint="eastAsia" w:ascii="仿宋" w:hAnsi="仿宋" w:eastAsia="仿宋" w:cs="仿宋"/>
          <w:sz w:val="28"/>
          <w:u w:val="single"/>
        </w:rPr>
        <w:t xml:space="preserve">        </w:t>
      </w:r>
      <w:r>
        <w:rPr>
          <w:rFonts w:hint="eastAsia" w:ascii="仿宋" w:hAnsi="仿宋" w:eastAsia="仿宋" w:cs="仿宋"/>
          <w:sz w:val="28"/>
        </w:rPr>
        <w:t xml:space="preserve"> 性别：</w:t>
      </w:r>
      <w:r>
        <w:rPr>
          <w:rFonts w:hint="eastAsia" w:ascii="仿宋" w:hAnsi="仿宋" w:eastAsia="仿宋" w:cs="仿宋"/>
          <w:sz w:val="28"/>
          <w:u w:val="single"/>
        </w:rPr>
        <w:t xml:space="preserve">         </w:t>
      </w:r>
      <w:r>
        <w:rPr>
          <w:rFonts w:hint="eastAsia" w:ascii="仿宋" w:hAnsi="仿宋" w:eastAsia="仿宋" w:cs="仿宋"/>
          <w:sz w:val="28"/>
        </w:rPr>
        <w:t xml:space="preserve"> 年龄：</w:t>
      </w:r>
      <w:r>
        <w:rPr>
          <w:rFonts w:hint="eastAsia" w:ascii="仿宋" w:hAnsi="仿宋" w:eastAsia="仿宋" w:cs="仿宋"/>
          <w:sz w:val="28"/>
          <w:u w:val="single"/>
        </w:rPr>
        <w:t xml:space="preserve">        </w:t>
      </w:r>
      <w:r>
        <w:rPr>
          <w:rFonts w:hint="eastAsia" w:ascii="仿宋" w:hAnsi="仿宋" w:eastAsia="仿宋" w:cs="仿宋"/>
          <w:sz w:val="28"/>
        </w:rPr>
        <w:t>职务：</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系</w:t>
      </w:r>
      <w:r>
        <w:rPr>
          <w:rFonts w:hint="eastAsia" w:ascii="仿宋" w:hAnsi="仿宋" w:eastAsia="仿宋" w:cs="仿宋"/>
          <w:sz w:val="28"/>
          <w:u w:val="single"/>
        </w:rPr>
        <w:t xml:space="preserve">                           （投标人名称）</w:t>
      </w:r>
      <w:r>
        <w:rPr>
          <w:rFonts w:hint="eastAsia" w:ascii="仿宋" w:hAnsi="仿宋" w:eastAsia="仿宋" w:cs="仿宋"/>
          <w:sz w:val="28"/>
        </w:rPr>
        <w:t>的法定代表人。</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 xml:space="preserve">特此证明。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附：法定代表人身份证复印件</w:t>
      </w: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rPr>
          <w:rFonts w:hint="eastAsia" w:ascii="仿宋" w:hAnsi="仿宋" w:eastAsia="仿宋" w:cs="仿宋"/>
          <w:sz w:val="28"/>
        </w:rPr>
      </w:pPr>
    </w:p>
    <w:p>
      <w:pPr>
        <w:spacing w:line="360" w:lineRule="auto"/>
        <w:ind w:firstLine="560" w:firstLineChars="200"/>
        <w:jc w:val="right"/>
        <w:rPr>
          <w:rFonts w:hint="eastAsia" w:ascii="仿宋" w:hAnsi="仿宋" w:eastAsia="仿宋" w:cs="仿宋"/>
          <w:sz w:val="28"/>
        </w:rPr>
      </w:pPr>
      <w:r>
        <w:rPr>
          <w:rFonts w:hint="eastAsia" w:ascii="仿宋" w:hAnsi="仿宋" w:eastAsia="仿宋" w:cs="仿宋"/>
          <w:sz w:val="28"/>
        </w:rPr>
        <w:t xml:space="preserve">  投标人：</w:t>
      </w:r>
      <w:r>
        <w:rPr>
          <w:rFonts w:hint="eastAsia" w:ascii="仿宋" w:hAnsi="仿宋" w:eastAsia="仿宋" w:cs="仿宋"/>
          <w:sz w:val="28"/>
          <w:u w:val="single"/>
        </w:rPr>
        <w:t xml:space="preserve">               </w:t>
      </w:r>
      <w:r>
        <w:rPr>
          <w:rFonts w:hint="eastAsia" w:ascii="仿宋" w:hAnsi="仿宋" w:eastAsia="仿宋" w:cs="仿宋"/>
          <w:sz w:val="28"/>
        </w:rPr>
        <w:t>（盖单位章）</w:t>
      </w:r>
    </w:p>
    <w:p>
      <w:pPr>
        <w:spacing w:line="360" w:lineRule="auto"/>
        <w:ind w:right="210" w:firstLine="560" w:firstLineChars="200"/>
        <w:jc w:val="right"/>
        <w:rPr>
          <w:rFonts w:hint="eastAsia" w:ascii="仿宋" w:hAnsi="仿宋" w:eastAsia="仿宋" w:cs="仿宋"/>
          <w:sz w:val="28"/>
        </w:rPr>
      </w:pPr>
      <w:r>
        <w:rPr>
          <w:rFonts w:hint="eastAsia" w:ascii="仿宋" w:hAnsi="仿宋" w:eastAsia="仿宋" w:cs="仿宋"/>
          <w:sz w:val="28"/>
        </w:rPr>
        <w:t xml:space="preserve">             </w:t>
      </w: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 xml:space="preserve">日 </w:t>
      </w:r>
    </w:p>
    <w:p>
      <w:pPr>
        <w:spacing w:line="360" w:lineRule="auto"/>
        <w:rPr>
          <w:rFonts w:hint="eastAsia" w:ascii="仿宋" w:hAnsi="仿宋" w:eastAsia="仿宋" w:cs="仿宋"/>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jc w:val="center"/>
        <w:rPr>
          <w:rFonts w:hint="eastAsia" w:ascii="仿宋" w:hAnsi="仿宋" w:eastAsia="仿宋" w:cs="仿宋"/>
          <w:position w:val="-3"/>
          <w:sz w:val="24"/>
        </w:rPr>
      </w:pPr>
      <w:r>
        <w:rPr>
          <w:rFonts w:hint="eastAsia" w:ascii="仿宋" w:hAnsi="仿宋" w:eastAsia="仿宋" w:cs="仿宋"/>
          <w:b/>
          <w:bCs/>
          <w:spacing w:val="2"/>
          <w:sz w:val="32"/>
          <w:szCs w:val="32"/>
        </w:rPr>
        <w:t>法</w:t>
      </w:r>
      <w:r>
        <w:rPr>
          <w:rFonts w:hint="eastAsia" w:ascii="仿宋" w:hAnsi="仿宋" w:eastAsia="仿宋" w:cs="仿宋"/>
          <w:b/>
          <w:bCs/>
          <w:sz w:val="32"/>
          <w:szCs w:val="32"/>
        </w:rPr>
        <w:t>人</w:t>
      </w:r>
      <w:r>
        <w:rPr>
          <w:rFonts w:hint="eastAsia" w:ascii="仿宋" w:hAnsi="仿宋" w:eastAsia="仿宋" w:cs="仿宋"/>
          <w:b/>
          <w:bCs/>
          <w:spacing w:val="2"/>
          <w:sz w:val="32"/>
          <w:szCs w:val="32"/>
        </w:rPr>
        <w:t>代</w:t>
      </w:r>
      <w:r>
        <w:rPr>
          <w:rFonts w:hint="eastAsia" w:ascii="仿宋" w:hAnsi="仿宋" w:eastAsia="仿宋" w:cs="仿宋"/>
          <w:b/>
          <w:bCs/>
          <w:sz w:val="32"/>
          <w:szCs w:val="32"/>
        </w:rPr>
        <w:t>表授</w:t>
      </w:r>
      <w:r>
        <w:rPr>
          <w:rFonts w:hint="eastAsia" w:ascii="仿宋" w:hAnsi="仿宋" w:eastAsia="仿宋" w:cs="仿宋"/>
          <w:b/>
          <w:bCs/>
          <w:spacing w:val="2"/>
          <w:sz w:val="32"/>
          <w:szCs w:val="32"/>
        </w:rPr>
        <w:t>权</w:t>
      </w:r>
      <w:r>
        <w:rPr>
          <w:rFonts w:hint="eastAsia" w:ascii="仿宋" w:hAnsi="仿宋" w:eastAsia="仿宋" w:cs="仿宋"/>
          <w:b/>
          <w:bCs/>
          <w:sz w:val="32"/>
          <w:szCs w:val="32"/>
        </w:rPr>
        <w:t>委</w:t>
      </w:r>
      <w:r>
        <w:rPr>
          <w:rFonts w:hint="eastAsia" w:ascii="仿宋" w:hAnsi="仿宋" w:eastAsia="仿宋" w:cs="仿宋"/>
          <w:b/>
          <w:bCs/>
          <w:spacing w:val="2"/>
          <w:sz w:val="32"/>
          <w:szCs w:val="32"/>
        </w:rPr>
        <w:t>托</w:t>
      </w:r>
      <w:r>
        <w:rPr>
          <w:rFonts w:hint="eastAsia" w:ascii="仿宋" w:hAnsi="仿宋" w:eastAsia="仿宋" w:cs="仿宋"/>
          <w:b/>
          <w:bCs/>
          <w:spacing w:val="4"/>
          <w:sz w:val="32"/>
          <w:szCs w:val="32"/>
        </w:rPr>
        <w:t>书</w:t>
      </w:r>
    </w:p>
    <w:p>
      <w:pPr>
        <w:spacing w:line="360" w:lineRule="auto"/>
        <w:ind w:right="-20"/>
        <w:rPr>
          <w:rFonts w:hint="eastAsia" w:ascii="仿宋" w:hAnsi="仿宋" w:eastAsia="仿宋" w:cs="仿宋"/>
          <w:position w:val="-3"/>
          <w:sz w:val="24"/>
        </w:rPr>
      </w:pP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本授权书宣告：</w:t>
      </w:r>
      <w:r>
        <w:rPr>
          <w:rFonts w:hint="eastAsia" w:ascii="仿宋" w:hAnsi="仿宋" w:eastAsia="仿宋" w:cs="仿宋"/>
          <w:sz w:val="24"/>
          <w:u w:val="single"/>
        </w:rPr>
        <w:t xml:space="preserve">          </w:t>
      </w:r>
      <w:r>
        <w:rPr>
          <w:rFonts w:hint="eastAsia" w:ascii="仿宋" w:hAnsi="仿宋" w:eastAsia="仿宋" w:cs="仿宋"/>
          <w:sz w:val="24"/>
        </w:rPr>
        <w:t>（投标单位全称）法人代表</w:t>
      </w:r>
      <w:r>
        <w:rPr>
          <w:rFonts w:hint="eastAsia" w:ascii="仿宋" w:hAnsi="仿宋" w:eastAsia="仿宋" w:cs="仿宋"/>
          <w:sz w:val="24"/>
          <w:u w:val="single"/>
        </w:rPr>
        <w:t xml:space="preserve">      </w:t>
      </w:r>
      <w:r>
        <w:rPr>
          <w:rFonts w:hint="eastAsia" w:ascii="仿宋" w:hAnsi="仿宋" w:eastAsia="仿宋" w:cs="仿宋"/>
          <w:sz w:val="24"/>
        </w:rPr>
        <w:t>（姓名）合法地代表我投标人，授权</w:t>
      </w:r>
      <w:r>
        <w:rPr>
          <w:rFonts w:hint="eastAsia" w:ascii="仿宋" w:hAnsi="仿宋" w:eastAsia="仿宋" w:cs="仿宋"/>
          <w:sz w:val="24"/>
          <w:u w:val="single"/>
        </w:rPr>
        <w:t xml:space="preserve">       </w:t>
      </w:r>
      <w:r>
        <w:rPr>
          <w:rFonts w:hint="eastAsia" w:ascii="仿宋" w:hAnsi="仿宋" w:eastAsia="仿宋" w:cs="仿宋"/>
          <w:sz w:val="24"/>
        </w:rPr>
        <w:t xml:space="preserve">（投标人或其下属单位全称）的  </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（姓名）为我单位代理人，该代理人有权在</w:t>
      </w:r>
      <w:r>
        <w:rPr>
          <w:rFonts w:hint="eastAsia" w:ascii="仿宋" w:hAnsi="仿宋" w:eastAsia="仿宋" w:cs="仿宋"/>
          <w:sz w:val="24"/>
          <w:u w:val="single"/>
        </w:rPr>
        <w:t xml:space="preserve">        </w:t>
      </w:r>
      <w:r>
        <w:rPr>
          <w:rFonts w:hint="eastAsia" w:ascii="仿宋" w:hAnsi="仿宋" w:eastAsia="仿宋" w:cs="仿宋"/>
          <w:sz w:val="24"/>
        </w:rPr>
        <w:t>（项目名称）项目的招投标活动中，以我单位的名义签署投标文件，参与</w:t>
      </w:r>
      <w:r>
        <w:rPr>
          <w:rFonts w:hint="eastAsia" w:ascii="仿宋" w:hAnsi="仿宋" w:eastAsia="仿宋" w:cs="仿宋"/>
          <w:sz w:val="24"/>
          <w:u w:val="single"/>
        </w:rPr>
        <w:t xml:space="preserve">       </w:t>
      </w:r>
      <w:r>
        <w:rPr>
          <w:rFonts w:hint="eastAsia" w:ascii="仿宋" w:hAnsi="仿宋" w:eastAsia="仿宋" w:cs="仿宋"/>
          <w:sz w:val="24"/>
        </w:rPr>
        <w:t>（项目名称）采购项目的协商、投标、签订合同及有关文件，并执行一切与此有关事项。</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我们对被授权人签名负全部责任。在贵公司接到撤消授权的书面通知以前，本授权书对本项目投标一直有效。被授权人在授权有效期内签署所有文件不因授权的撤消而消失。</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59264" behindDoc="1" locked="0" layoutInCell="1" allowOverlap="1">
                <wp:simplePos x="0" y="0"/>
                <wp:positionH relativeFrom="page">
                  <wp:posOffset>864235</wp:posOffset>
                </wp:positionH>
                <wp:positionV relativeFrom="paragraph">
                  <wp:posOffset>171450</wp:posOffset>
                </wp:positionV>
                <wp:extent cx="6202680" cy="2498725"/>
                <wp:effectExtent l="0" t="0" r="0" b="3175"/>
                <wp:wrapNone/>
                <wp:docPr id="1" name="组合 1"/>
                <wp:cNvGraphicFramePr/>
                <a:graphic xmlns:a="http://schemas.openxmlformats.org/drawingml/2006/main">
                  <a:graphicData uri="http://schemas.microsoft.com/office/word/2010/wordprocessingGroup">
                    <wpg:wgp>
                      <wpg:cNvGrpSpPr/>
                      <wpg:grpSpPr>
                        <a:xfrm>
                          <a:off x="0" y="0"/>
                          <a:ext cx="6202680" cy="2498725"/>
                          <a:chOff x="0" y="0"/>
                          <a:chExt cx="5051" cy="3554"/>
                        </a:xfrm>
                        <a:effectLst/>
                      </wpg:grpSpPr>
                      <wpg:grpSp>
                        <wpg:cNvPr id="2" name="组合 4"/>
                        <wpg:cNvGrpSpPr/>
                        <wpg:grpSpPr>
                          <a:xfrm>
                            <a:off x="10" y="10"/>
                            <a:ext cx="5031" cy="3534"/>
                            <a:chOff x="0" y="0"/>
                            <a:chExt cx="5031" cy="3534"/>
                          </a:xfrm>
                          <a:effectLst/>
                        </wpg:grpSpPr>
                        <wps:wsp>
                          <wps:cNvPr id="8" name="任意多边形 3"/>
                          <wps:cNvSpPr/>
                          <wps:spPr>
                            <a:xfrm>
                              <a:off x="0" y="0"/>
                              <a:ext cx="5031" cy="3534"/>
                            </a:xfrm>
                            <a:custGeom>
                              <a:avLst/>
                              <a:gdLst/>
                              <a:ahLst/>
                              <a:cxnLst/>
                              <a:rect l="0" t="0" r="0" b="0"/>
                              <a:pathLst>
                                <a:path w="5031" h="3534">
                                  <a:moveTo>
                                    <a:pt x="0" y="3534"/>
                                  </a:moveTo>
                                  <a:lnTo>
                                    <a:pt x="5031" y="3534"/>
                                  </a:lnTo>
                                  <a:lnTo>
                                    <a:pt x="5031" y="0"/>
                                  </a:lnTo>
                                  <a:lnTo>
                                    <a:pt x="0" y="0"/>
                                  </a:lnTo>
                                  <a:lnTo>
                                    <a:pt x="0" y="3534"/>
                                  </a:lnTo>
                                </a:path>
                              </a:pathLst>
                            </a:custGeom>
                            <a:solidFill>
                              <a:srgbClr val="FFFFFF"/>
                            </a:solidFill>
                            <a:ln>
                              <a:noFill/>
                            </a:ln>
                            <a:effectLst/>
                          </wps:spPr>
                          <wps:bodyPr upright="1"/>
                        </wps:wsp>
                      </wpg:grpSp>
                      <wpg:grpSp>
                        <wpg:cNvPr id="9" name="组合 6"/>
                        <wpg:cNvGrpSpPr/>
                        <wpg:grpSpPr>
                          <a:xfrm>
                            <a:off x="10" y="10"/>
                            <a:ext cx="5031" cy="3534"/>
                            <a:chOff x="0" y="0"/>
                            <a:chExt cx="5031" cy="3534"/>
                          </a:xfrm>
                          <a:effectLst/>
                        </wpg:grpSpPr>
                        <wps:wsp>
                          <wps:cNvPr id="10" name="任意多边形 5"/>
                          <wps:cNvSpPr/>
                          <wps:spPr>
                            <a:xfrm>
                              <a:off x="0" y="0"/>
                              <a:ext cx="5031" cy="3534"/>
                            </a:xfrm>
                            <a:custGeom>
                              <a:avLst/>
                              <a:gdLst/>
                              <a:ahLst/>
                              <a:cxnLst/>
                              <a:rect l="0" t="0" r="0" b="0"/>
                              <a:pathLst>
                                <a:path w="5031" h="3534">
                                  <a:moveTo>
                                    <a:pt x="0" y="3534"/>
                                  </a:moveTo>
                                  <a:lnTo>
                                    <a:pt x="5031" y="3534"/>
                                  </a:lnTo>
                                  <a:lnTo>
                                    <a:pt x="5031" y="0"/>
                                  </a:lnTo>
                                  <a:lnTo>
                                    <a:pt x="0" y="0"/>
                                  </a:lnTo>
                                  <a:lnTo>
                                    <a:pt x="0" y="3534"/>
                                  </a:lnTo>
                                  <a:close/>
                                </a:path>
                              </a:pathLst>
                            </a:custGeom>
                            <a:noFill/>
                            <a:ln w="9525"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68.05pt;margin-top:13.5pt;height:196.75pt;width:488.4pt;mso-position-horizontal-relative:page;z-index:-251657216;mso-width-relative:page;mso-height-relative:page;" coordsize="5051,3554" o:gfxdata="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HKKO7faAAAACwEAAA8AAAAA&#10;AAAAAQAgAAAAIgAAAGRycy9kb3ducmV2LnhtbFBLAQIUABQAAAAIAIdO4kCwep0WLwMAALALAAAO&#10;AAAAAAAAAAEAIAAAACkBAABkcnMvZTJvRG9jLnhtbFBLBQYAAAAABgAGAFkBAADKBgAAAAA=&#10;">
                <o:lock v:ext="edit" aspectratio="f"/>
                <v:group id="组合 4" o:spid="_x0000_s1026" o:spt="203" style="position:absolute;left:10;top:10;height:3534;width:5031;" coordsize="5031,3534"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3" o:spid="_x0000_s1026" o:spt="100" style="position:absolute;left:0;top:0;height:3534;width:5031;" fillcolor="#FFFFFF" filled="t" stroked="f" coordsize="5031,3534" o:gfxdata="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NnwpMbUAAADaAAAADwAA&#10;AAAAAAABACAAAAAiAAAAZHJzL2Rvd25yZXYueG1sUEsBAhQAFAAAAAgAh07iQDMvBZ47AAAAOQAA&#10;ABAAAAAAAAAAAQAgAAAABAEAAGRycy9zaGFwZXhtbC54bWxQSwUGAAAAAAYABgBbAQAArgMAAAAA&#10;" path="m0,3534l5031,3534,5031,0,0,0,0,3534e">
                    <v:fill on="t" focussize="0,0"/>
                    <v:stroke on="f"/>
                    <v:imagedata o:title=""/>
                    <o:lock v:ext="edit" aspectratio="f"/>
                  </v:shape>
                </v:group>
                <v:group id="组合 6" o:spid="_x0000_s1026" o:spt="203" style="position:absolute;left:10;top:10;height:3534;width:5031;" coordsize="5031,353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任意多边形 5" o:spid="_x0000_s1026" o:spt="100" style="position:absolute;left:0;top:0;height:3534;width:5031;" filled="f" stroked="t" coordsize="5031,3534" o:gfxdata="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SyrW8AAAA&#10;2wAAAA8AAAAAAAAAAQAgAAAAIgAAAGRycy9kb3ducmV2LnhtbFBLAQIUABQAAAAIAIdO4kAzLwWe&#10;OwAAADkAAAAQAAAAAAAAAAEAIAAAAAsBAABkcnMvc2hhcGV4bWwueG1sUEsFBgAAAAAGAAYAWwEA&#10;ALUDAAAAAA==&#10;" path="m0,3534l5031,3534,5031,0,0,0,0,3534xe">
                    <v:fill on="f" focussize="0,0"/>
                    <v:stroke color="#000000" joinstyle="round"/>
                    <v:imagedata o:title=""/>
                    <o:lock v:ext="edit" aspectratio="f"/>
                  </v:shape>
                </v:group>
              </v:group>
            </w:pict>
          </mc:Fallback>
        </mc:AlternateContent>
      </w: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被授权人身份证复印件或扫描件</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投标单位（公司全称、章）：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授权人（法人代表签字）：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被授权的代理人（签字）：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授权日期：       年     月      日</w:t>
      </w:r>
    </w:p>
    <w:p>
      <w:pPr>
        <w:pStyle w:val="3"/>
        <w:spacing w:after="0" w:line="360" w:lineRule="auto"/>
        <w:ind w:left="0" w:firstLine="0"/>
        <w:jc w:val="both"/>
        <w:rPr>
          <w:rFonts w:hint="eastAsia" w:ascii="仿宋" w:hAnsi="仿宋" w:eastAsia="仿宋" w:cs="仿宋"/>
          <w:szCs w:val="28"/>
        </w:rPr>
      </w:pPr>
    </w:p>
    <w:p>
      <w:pPr>
        <w:spacing w:line="560" w:lineRule="exact"/>
        <w:jc w:val="both"/>
        <w:rPr>
          <w:rFonts w:hint="eastAsia" w:ascii="仿宋" w:hAnsi="仿宋" w:eastAsia="仿宋" w:cs="仿宋"/>
          <w:sz w:val="36"/>
          <w:szCs w:val="36"/>
        </w:rPr>
      </w:pPr>
    </w:p>
    <w:p>
      <w:pPr>
        <w:pStyle w:val="5"/>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4"/>
          <w:szCs w:val="44"/>
        </w:rPr>
      </w:pPr>
      <w:r>
        <w:rPr>
          <w:rFonts w:hint="eastAsia" w:ascii="仿宋" w:hAnsi="仿宋" w:eastAsia="仿宋" w:cs="仿宋"/>
          <w:kern w:val="2"/>
          <w:sz w:val="44"/>
          <w:szCs w:val="44"/>
          <w:lang w:val="en-US" w:eastAsia="zh-CN" w:bidi="ar-SA"/>
        </w:rPr>
        <w:t>中煤长江地质集团有限公司机电材料  采购</w:t>
      </w:r>
      <w:r>
        <w:rPr>
          <w:rFonts w:hint="eastAsia" w:ascii="仿宋" w:hAnsi="仿宋" w:eastAsia="仿宋" w:cs="仿宋"/>
          <w:sz w:val="44"/>
          <w:szCs w:val="44"/>
        </w:rPr>
        <w:t>报价单</w:t>
      </w:r>
    </w:p>
    <w:p>
      <w:pPr>
        <w:pStyle w:val="5"/>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4"/>
          <w:szCs w:val="44"/>
        </w:rPr>
      </w:pPr>
    </w:p>
    <w:p>
      <w:pPr>
        <w:tabs>
          <w:tab w:val="left" w:pos="3360"/>
        </w:tabs>
        <w:adjustRightInd w:val="0"/>
        <w:snapToGrid w:val="0"/>
        <w:spacing w:line="360" w:lineRule="auto"/>
        <w:ind w:left="630"/>
        <w:jc w:val="left"/>
        <w:rPr>
          <w:rFonts w:hint="eastAsia" w:ascii="仿宋" w:hAnsi="仿宋" w:eastAsia="仿宋" w:cs="仿宋"/>
          <w:b/>
          <w:bCs/>
          <w:sz w:val="32"/>
          <w:szCs w:val="32"/>
        </w:rPr>
      </w:pPr>
      <w:r>
        <w:rPr>
          <w:rFonts w:hint="eastAsia" w:ascii="仿宋" w:hAnsi="仿宋" w:eastAsia="仿宋" w:cs="仿宋"/>
          <w:b/>
          <w:bCs/>
          <w:sz w:val="32"/>
          <w:szCs w:val="32"/>
        </w:rPr>
        <w:t>一、项目概况：</w:t>
      </w:r>
    </w:p>
    <w:p>
      <w:pPr>
        <w:pStyle w:val="5"/>
        <w:widowControl/>
        <w:shd w:val="clear" w:color="auto" w:fill="FFFFFF"/>
        <w:spacing w:beforeAutospacing="0" w:afterAutospacing="0" w:line="560" w:lineRule="exact"/>
        <w:ind w:left="2558" w:leftChars="304" w:hanging="1920" w:hangingChars="600"/>
        <w:rPr>
          <w:rFonts w:hint="eastAsia" w:ascii="仿宋" w:hAnsi="仿宋" w:eastAsia="仿宋" w:cs="仿宋"/>
          <w:sz w:val="32"/>
          <w:szCs w:val="32"/>
          <w:lang w:val="en-US"/>
        </w:rPr>
      </w:pPr>
      <w:r>
        <w:rPr>
          <w:rFonts w:hint="eastAsia" w:ascii="仿宋" w:hAnsi="仿宋" w:eastAsia="仿宋" w:cs="仿宋"/>
          <w:sz w:val="32"/>
          <w:szCs w:val="32"/>
        </w:rPr>
        <w:t xml:space="preserve"> 工程名称：</w:t>
      </w:r>
      <w:r>
        <w:rPr>
          <w:rFonts w:hint="eastAsia" w:ascii="仿宋" w:hAnsi="仿宋" w:eastAsia="仿宋" w:cs="仿宋"/>
          <w:snapToGrid w:val="0"/>
          <w:color w:val="000000"/>
          <w:kern w:val="0"/>
          <w:sz w:val="32"/>
          <w:szCs w:val="32"/>
          <w:lang w:val="en-US" w:eastAsia="zh-CN" w:bidi="ar-SA"/>
        </w:rPr>
        <w:t>西咸新区2023年0.7万亩高标准农田建设项目</w:t>
      </w:r>
    </w:p>
    <w:p>
      <w:pPr>
        <w:tabs>
          <w:tab w:val="left" w:pos="1060"/>
          <w:tab w:val="left" w:pos="3360"/>
        </w:tabs>
        <w:adjustRightInd w:val="0"/>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工程地点：</w:t>
      </w:r>
      <w:r>
        <w:rPr>
          <w:rFonts w:hint="eastAsia" w:ascii="仿宋" w:hAnsi="仿宋" w:eastAsia="仿宋" w:cs="仿宋"/>
          <w:snapToGrid w:val="0"/>
          <w:color w:val="000000"/>
          <w:kern w:val="0"/>
          <w:sz w:val="32"/>
          <w:szCs w:val="32"/>
          <w:lang w:val="en-US" w:eastAsia="zh-CN" w:bidi="ar-SA"/>
        </w:rPr>
        <w:t>陕西省西安市</w:t>
      </w:r>
    </w:p>
    <w:p>
      <w:pPr>
        <w:numPr>
          <w:ilvl w:val="0"/>
          <w:numId w:val="1"/>
        </w:numPr>
        <w:tabs>
          <w:tab w:val="left" w:pos="3360"/>
        </w:tabs>
        <w:adjustRightInd w:val="0"/>
        <w:snapToGrid w:val="0"/>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报价信息：</w:t>
      </w:r>
    </w:p>
    <w:tbl>
      <w:tblPr>
        <w:tblStyle w:val="7"/>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797"/>
        <w:gridCol w:w="1117"/>
        <w:gridCol w:w="1859"/>
        <w:gridCol w:w="1701"/>
        <w:gridCol w:w="1473"/>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序号</w:t>
            </w:r>
          </w:p>
        </w:tc>
        <w:tc>
          <w:tcPr>
            <w:tcW w:w="1797"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名称</w:t>
            </w:r>
          </w:p>
        </w:tc>
        <w:tc>
          <w:tcPr>
            <w:tcW w:w="1117"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单位(规格)</w:t>
            </w:r>
          </w:p>
        </w:tc>
        <w:tc>
          <w:tcPr>
            <w:tcW w:w="1859"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暂定数量</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单价(元)</w:t>
            </w: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合</w:t>
            </w:r>
            <w:r>
              <w:rPr>
                <w:rFonts w:hint="eastAsia" w:ascii="仿宋" w:hAnsi="仿宋" w:eastAsia="仿宋" w:cs="仿宋"/>
                <w:b/>
                <w:bCs/>
                <w:sz w:val="30"/>
                <w:szCs w:val="30"/>
              </w:rPr>
              <w:t>价(元)</w:t>
            </w:r>
          </w:p>
        </w:tc>
        <w:tc>
          <w:tcPr>
            <w:tcW w:w="829"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110PVC管(1.0Mpa)</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m</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16600</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top"/>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110UPVC管(1.0Mpa)</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m</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1680</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top"/>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90UPVC管(1.0Mpa)</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m</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9950</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top"/>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32UPVC管(1.0Mpa)</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m</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450</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top"/>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Y8032喷头</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个</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400</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top"/>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方便体</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个</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400</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top"/>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DN25镀锌立管</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个</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400</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镀锌三角支架</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个</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400</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管件</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个</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3</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钢筋</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t</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10.6</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油漆</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t</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6.27</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油毡</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m²</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258.55</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加压泵65-200(I)B</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台</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2</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变频控制柜</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台</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2</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4寸离心过滤器</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套</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2</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水肥一体化设备</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套</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2</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交换机</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台</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2</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工控机(含显示屏)</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台</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1</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操作台(含2把坐椅)</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套</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1</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4G无线智能网关(含网卡)</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套</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1</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智能灌溉管理软件</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套</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1</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手机控制APP</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套</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1</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电源板</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块</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1</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高清视频线</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条</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1</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视频转换器</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块</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3</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网线及辅料</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套</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1</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70寸液晶显示屏</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台</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1</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录像机(16路)</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台</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1</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29</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硬盘8T</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块</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2</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高清数字摄像球机1080p</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台</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9</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31</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无线网桥</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块</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11</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32</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监控立杆(含监控箱及电源插板)</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套</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10</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33</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线缆及辅料</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套</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1</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34</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照明灯具</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套</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2</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35</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DN100电磁流量计</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台</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2</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36</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智能控制终端(远程启闭及数据采集)</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台</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4</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37</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脉冲电磁阀</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部</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30</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38</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脉冲电磁阀</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部</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3</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39</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智能LORA灌溉遥测机(含杆及支架)</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套</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33</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40</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土壤温湿度、氮磷钾、EC值多合一传屉</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台</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30</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41</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太阳能供电套件</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套</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33</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42</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控制电缆</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米</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300</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43</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穿线管</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米</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300</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44</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智能气象站LED显示，网络传输，采集</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套</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1</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45</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4G网关(含三年流量费)</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套</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1</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46</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虫情检测系统</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套</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1</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47</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4G网关(含三年流量费)</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套</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1</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48</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闸阀井闸阀</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个</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55</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49</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泄水井闸阀</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个</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11</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逆止阀</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个</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8</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51</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流量表</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台</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8</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52</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进排气阀</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个</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8</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53</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压力表</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个</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8</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54</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三通</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个</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332</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55</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出水栓</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个</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332</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56</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井管夹板</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个</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2</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57</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水泵200QJ50-143/1130kw</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套</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4</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58</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玻璃钢井房</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座</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10</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59</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铸铁闸门(80cm+95cm)</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个</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4</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60</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铸铁闸门(60cm+85cm</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个</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15</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61</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钢梁及钢柱</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t</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3.87</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62</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钢楼梯</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t</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2.39</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63</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不锈钢扶手</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m</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82</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64</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高强螺栓(M20)</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套</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95</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65</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地脚螺栓(M24)</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套</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120</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66</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水泵200QJ50-130/10及控制柜30kw</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套</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2</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67</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水泵200QJ50-143/11及控制柜  30k</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套</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6</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68</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水泵200QJ80-99/9及控制柜37kv</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套</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3</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92" w:type="dxa"/>
            <w:noWrap w:val="0"/>
            <w:vAlign w:val="center"/>
          </w:tcPr>
          <w:p>
            <w:pPr>
              <w:tabs>
                <w:tab w:val="left" w:pos="3360"/>
              </w:tabs>
              <w:adjustRightInd w:val="0"/>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69</w:t>
            </w:r>
          </w:p>
        </w:tc>
        <w:tc>
          <w:tcPr>
            <w:tcW w:w="179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栓钉(M16)</w:t>
            </w:r>
          </w:p>
        </w:tc>
        <w:tc>
          <w:tcPr>
            <w:tcW w:w="1117"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套</w:t>
            </w:r>
          </w:p>
        </w:tc>
        <w:tc>
          <w:tcPr>
            <w:tcW w:w="1859" w:type="dxa"/>
            <w:noWrap w:val="0"/>
            <w:vAlign w:val="top"/>
          </w:tcPr>
          <w:p>
            <w:pPr>
              <w:spacing w:beforeLines="0" w:afterLines="0"/>
              <w:jc w:val="center"/>
              <w:rPr>
                <w:rFonts w:hint="eastAsia" w:ascii="宋体" w:hAnsi="宋体" w:eastAsia="Arial" w:cs="Arial"/>
                <w:snapToGrid w:val="0"/>
                <w:color w:val="000000"/>
                <w:sz w:val="22"/>
                <w:szCs w:val="24"/>
                <w:lang w:val="en-US" w:eastAsia="en-US" w:bidi="ar-SA"/>
              </w:rPr>
            </w:pPr>
            <w:r>
              <w:rPr>
                <w:rFonts w:hint="eastAsia" w:ascii="宋体" w:hAnsi="宋体"/>
                <w:color w:val="000000"/>
                <w:sz w:val="22"/>
                <w:szCs w:val="24"/>
              </w:rPr>
              <w:t>180</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p>
        </w:tc>
        <w:tc>
          <w:tcPr>
            <w:tcW w:w="1797" w:type="dxa"/>
            <w:noWrap w:val="0"/>
            <w:vAlign w:val="top"/>
          </w:tcPr>
          <w:p>
            <w:pPr>
              <w:jc w:val="center"/>
              <w:rPr>
                <w:rFonts w:hint="eastAsia" w:ascii="仿宋" w:hAnsi="仿宋" w:eastAsia="仿宋" w:cs="仿宋"/>
                <w:color w:val="000000"/>
                <w:szCs w:val="24"/>
              </w:rPr>
            </w:pPr>
          </w:p>
        </w:tc>
        <w:tc>
          <w:tcPr>
            <w:tcW w:w="1117" w:type="dxa"/>
            <w:noWrap w:val="0"/>
            <w:vAlign w:val="top"/>
          </w:tcPr>
          <w:p>
            <w:pPr>
              <w:jc w:val="center"/>
              <w:rPr>
                <w:rFonts w:hint="eastAsia" w:ascii="仿宋" w:hAnsi="仿宋" w:eastAsia="仿宋" w:cs="仿宋"/>
                <w:color w:val="000000"/>
                <w:szCs w:val="24"/>
              </w:rPr>
            </w:pPr>
          </w:p>
        </w:tc>
        <w:tc>
          <w:tcPr>
            <w:tcW w:w="1859" w:type="dxa"/>
            <w:noWrap w:val="0"/>
            <w:vAlign w:val="top"/>
          </w:tcPr>
          <w:p>
            <w:pPr>
              <w:jc w:val="center"/>
              <w:rPr>
                <w:rFonts w:hint="eastAsia" w:ascii="仿宋" w:hAnsi="仿宋" w:eastAsia="仿宋" w:cs="仿宋"/>
                <w:color w:val="000000"/>
                <w:szCs w:val="24"/>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p>
        </w:tc>
        <w:tc>
          <w:tcPr>
            <w:tcW w:w="1797" w:type="dxa"/>
            <w:noWrap w:val="0"/>
            <w:vAlign w:val="top"/>
          </w:tcPr>
          <w:p>
            <w:pPr>
              <w:jc w:val="center"/>
              <w:rPr>
                <w:rFonts w:hint="eastAsia" w:ascii="仿宋" w:hAnsi="仿宋" w:eastAsia="仿宋" w:cs="仿宋"/>
                <w:color w:val="000000"/>
                <w:szCs w:val="24"/>
              </w:rPr>
            </w:pPr>
          </w:p>
        </w:tc>
        <w:tc>
          <w:tcPr>
            <w:tcW w:w="1117" w:type="dxa"/>
            <w:noWrap w:val="0"/>
            <w:vAlign w:val="top"/>
          </w:tcPr>
          <w:p>
            <w:pPr>
              <w:jc w:val="center"/>
              <w:rPr>
                <w:rFonts w:hint="eastAsia" w:ascii="仿宋" w:hAnsi="仿宋" w:eastAsia="仿宋" w:cs="仿宋"/>
                <w:color w:val="000000"/>
                <w:szCs w:val="24"/>
              </w:rPr>
            </w:pPr>
          </w:p>
        </w:tc>
        <w:tc>
          <w:tcPr>
            <w:tcW w:w="1859" w:type="dxa"/>
            <w:noWrap w:val="0"/>
            <w:vAlign w:val="top"/>
          </w:tcPr>
          <w:p>
            <w:pPr>
              <w:jc w:val="center"/>
              <w:rPr>
                <w:rFonts w:hint="eastAsia" w:ascii="仿宋" w:hAnsi="仿宋" w:eastAsia="仿宋" w:cs="仿宋"/>
                <w:color w:val="000000"/>
                <w:szCs w:val="24"/>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p>
        </w:tc>
        <w:tc>
          <w:tcPr>
            <w:tcW w:w="1797" w:type="dxa"/>
            <w:noWrap w:val="0"/>
            <w:vAlign w:val="top"/>
          </w:tcPr>
          <w:p>
            <w:pPr>
              <w:jc w:val="center"/>
              <w:rPr>
                <w:rFonts w:hint="eastAsia" w:ascii="仿宋" w:hAnsi="仿宋" w:eastAsia="仿宋" w:cs="仿宋"/>
                <w:color w:val="000000"/>
                <w:szCs w:val="24"/>
              </w:rPr>
            </w:pPr>
          </w:p>
        </w:tc>
        <w:tc>
          <w:tcPr>
            <w:tcW w:w="1117" w:type="dxa"/>
            <w:noWrap w:val="0"/>
            <w:vAlign w:val="top"/>
          </w:tcPr>
          <w:p>
            <w:pPr>
              <w:jc w:val="center"/>
              <w:rPr>
                <w:rFonts w:hint="eastAsia" w:ascii="仿宋" w:hAnsi="仿宋" w:eastAsia="仿宋" w:cs="仿宋"/>
                <w:color w:val="000000"/>
                <w:szCs w:val="24"/>
              </w:rPr>
            </w:pPr>
          </w:p>
        </w:tc>
        <w:tc>
          <w:tcPr>
            <w:tcW w:w="1859" w:type="dxa"/>
            <w:noWrap w:val="0"/>
            <w:vAlign w:val="top"/>
          </w:tcPr>
          <w:p>
            <w:pPr>
              <w:jc w:val="center"/>
              <w:rPr>
                <w:rFonts w:hint="eastAsia" w:ascii="仿宋" w:hAnsi="仿宋" w:eastAsia="仿宋" w:cs="仿宋"/>
                <w:color w:val="000000"/>
                <w:szCs w:val="24"/>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p>
        </w:tc>
        <w:tc>
          <w:tcPr>
            <w:tcW w:w="1797" w:type="dxa"/>
            <w:noWrap w:val="0"/>
            <w:vAlign w:val="top"/>
          </w:tcPr>
          <w:p>
            <w:pPr>
              <w:jc w:val="center"/>
              <w:rPr>
                <w:rFonts w:hint="eastAsia" w:ascii="仿宋" w:hAnsi="仿宋" w:eastAsia="仿宋" w:cs="仿宋"/>
                <w:color w:val="000000"/>
                <w:szCs w:val="24"/>
                <w:lang w:val="en-US" w:eastAsia="zh-CN"/>
              </w:rPr>
            </w:pPr>
            <w:r>
              <w:rPr>
                <w:rFonts w:hint="eastAsia" w:ascii="仿宋" w:hAnsi="仿宋" w:eastAsia="仿宋" w:cs="仿宋"/>
                <w:color w:val="000000"/>
                <w:szCs w:val="24"/>
                <w:lang w:val="en-US" w:eastAsia="zh-CN"/>
              </w:rPr>
              <w:t>合计</w:t>
            </w:r>
          </w:p>
        </w:tc>
        <w:tc>
          <w:tcPr>
            <w:tcW w:w="1117" w:type="dxa"/>
            <w:noWrap w:val="0"/>
            <w:vAlign w:val="top"/>
          </w:tcPr>
          <w:p>
            <w:pPr>
              <w:jc w:val="center"/>
              <w:rPr>
                <w:rFonts w:hint="eastAsia" w:ascii="仿宋" w:hAnsi="仿宋" w:eastAsia="仿宋" w:cs="仿宋"/>
                <w:color w:val="000000"/>
                <w:szCs w:val="24"/>
              </w:rPr>
            </w:pPr>
          </w:p>
        </w:tc>
        <w:tc>
          <w:tcPr>
            <w:tcW w:w="1859" w:type="dxa"/>
            <w:noWrap w:val="0"/>
            <w:vAlign w:val="top"/>
          </w:tcPr>
          <w:p>
            <w:pPr>
              <w:jc w:val="center"/>
              <w:rPr>
                <w:rFonts w:hint="eastAsia" w:ascii="仿宋" w:hAnsi="仿宋" w:eastAsia="仿宋" w:cs="仿宋"/>
                <w:color w:val="000000"/>
                <w:szCs w:val="24"/>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473"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829"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839" w:type="dxa"/>
            <w:gridSpan w:val="6"/>
            <w:noWrap w:val="0"/>
            <w:vAlign w:val="center"/>
          </w:tcPr>
          <w:p>
            <w:pPr>
              <w:tabs>
                <w:tab w:val="left" w:pos="3360"/>
              </w:tabs>
              <w:adjustRightInd w:val="0"/>
              <w:snapToGrid w:val="0"/>
              <w:spacing w:line="360" w:lineRule="auto"/>
              <w:ind w:firstLine="2400" w:firstLineChars="1000"/>
              <w:jc w:val="left"/>
              <w:rPr>
                <w:rFonts w:hint="eastAsia" w:ascii="仿宋" w:hAnsi="仿宋" w:eastAsia="仿宋" w:cs="仿宋"/>
                <w:sz w:val="24"/>
                <w:szCs w:val="24"/>
                <w:lang w:val="en-US" w:eastAsia="zh-CN"/>
              </w:rPr>
            </w:pPr>
          </w:p>
        </w:tc>
        <w:tc>
          <w:tcPr>
            <w:tcW w:w="829" w:type="dxa"/>
            <w:noWrap w:val="0"/>
            <w:vAlign w:val="center"/>
          </w:tcPr>
          <w:p>
            <w:pPr>
              <w:tabs>
                <w:tab w:val="left" w:pos="3360"/>
              </w:tabs>
              <w:adjustRightInd w:val="0"/>
              <w:snapToGrid w:val="0"/>
              <w:spacing w:line="360" w:lineRule="auto"/>
              <w:ind w:firstLine="2400" w:firstLineChars="1000"/>
              <w:jc w:val="left"/>
              <w:rPr>
                <w:rFonts w:hint="eastAsia" w:ascii="仿宋" w:hAnsi="仿宋" w:eastAsia="仿宋" w:cs="仿宋"/>
                <w:sz w:val="24"/>
                <w:szCs w:val="24"/>
                <w:lang w:val="en-US" w:eastAsia="zh-CN"/>
              </w:rPr>
            </w:pPr>
          </w:p>
        </w:tc>
      </w:tr>
    </w:tbl>
    <w:p>
      <w:pPr>
        <w:tabs>
          <w:tab w:val="left" w:pos="3360"/>
        </w:tabs>
        <w:adjustRightInd w:val="0"/>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注：1.以上报价是否含税：是</w:t>
      </w:r>
      <w:r>
        <w:rPr>
          <w:rFonts w:hint="eastAsia" w:ascii="仿宋" w:hAnsi="仿宋" w:eastAsia="仿宋" w:cs="仿宋"/>
          <w:sz w:val="32"/>
          <w:szCs w:val="32"/>
        </w:rPr>
        <w:sym w:font="Wingdings" w:char="00A8"/>
      </w:r>
      <w:r>
        <w:rPr>
          <w:rFonts w:hint="eastAsia" w:ascii="仿宋" w:hAnsi="仿宋" w:eastAsia="仿宋" w:cs="仿宋"/>
          <w:sz w:val="32"/>
          <w:szCs w:val="32"/>
        </w:rPr>
        <w:t>（税率：</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13</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 否</w:t>
      </w:r>
      <w:r>
        <w:rPr>
          <w:rFonts w:hint="eastAsia" w:ascii="仿宋" w:hAnsi="仿宋" w:eastAsia="仿宋" w:cs="仿宋"/>
          <w:sz w:val="32"/>
          <w:szCs w:val="32"/>
        </w:rPr>
        <w:sym w:font="Wingdings" w:char="F0A8"/>
      </w:r>
    </w:p>
    <w:p>
      <w:pPr>
        <w:tabs>
          <w:tab w:val="left" w:pos="3360"/>
        </w:tabs>
        <w:adjustRightInd w:val="0"/>
        <w:snapToGrid w:val="0"/>
        <w:spacing w:line="360" w:lineRule="auto"/>
        <w:ind w:firstLine="1257" w:firstLineChars="393"/>
        <w:jc w:val="left"/>
        <w:rPr>
          <w:rFonts w:hint="eastAsia" w:ascii="仿宋" w:hAnsi="仿宋" w:eastAsia="仿宋" w:cs="仿宋"/>
          <w:sz w:val="32"/>
          <w:szCs w:val="32"/>
        </w:rPr>
      </w:pPr>
      <w:r>
        <w:rPr>
          <w:rFonts w:hint="eastAsia" w:ascii="仿宋" w:hAnsi="仿宋" w:eastAsia="仿宋" w:cs="仿宋"/>
          <w:sz w:val="32"/>
          <w:szCs w:val="32"/>
        </w:rPr>
        <w:t>2.以上材料报价有效期为</w:t>
      </w:r>
      <w:r>
        <w:rPr>
          <w:rFonts w:hint="eastAsia" w:ascii="仿宋" w:hAnsi="仿宋" w:eastAsia="仿宋" w:cs="仿宋"/>
          <w:sz w:val="32"/>
          <w:szCs w:val="32"/>
          <w:u w:val="single"/>
        </w:rPr>
        <w:t>30</w:t>
      </w:r>
      <w:r>
        <w:rPr>
          <w:rFonts w:hint="eastAsia" w:ascii="仿宋" w:hAnsi="仿宋" w:eastAsia="仿宋" w:cs="仿宋"/>
          <w:sz w:val="32"/>
          <w:szCs w:val="32"/>
        </w:rPr>
        <w:t>天。</w:t>
      </w:r>
    </w:p>
    <w:p>
      <w:pPr>
        <w:numPr>
          <w:ilvl w:val="0"/>
          <w:numId w:val="1"/>
        </w:numPr>
        <w:tabs>
          <w:tab w:val="left" w:pos="3360"/>
        </w:tabs>
        <w:adjustRightInd w:val="0"/>
        <w:snapToGrid w:val="0"/>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结算方式：</w:t>
      </w:r>
    </w:p>
    <w:p>
      <w:pPr>
        <w:tabs>
          <w:tab w:val="left" w:pos="3360"/>
        </w:tabs>
        <w:adjustRightInd w:val="0"/>
        <w:snapToGrid w:val="0"/>
        <w:spacing w:line="360" w:lineRule="auto"/>
        <w:jc w:val="left"/>
        <w:rPr>
          <w:rFonts w:hint="eastAsia" w:ascii="仿宋" w:hAnsi="仿宋" w:eastAsia="仿宋" w:cs="仿宋"/>
          <w:sz w:val="32"/>
          <w:szCs w:val="32"/>
          <w:u w:val="single"/>
        </w:rPr>
      </w:pPr>
      <w:r>
        <w:rPr>
          <w:rFonts w:hint="eastAsia" w:ascii="仿宋" w:hAnsi="仿宋" w:eastAsia="仿宋" w:cs="仿宋"/>
          <w:sz w:val="32"/>
          <w:szCs w:val="32"/>
        </w:rPr>
        <w:sym w:font="Wingdings" w:char="F0A8"/>
      </w:r>
      <w:r>
        <w:rPr>
          <w:rFonts w:hint="eastAsia" w:ascii="仿宋" w:hAnsi="仿宋" w:eastAsia="仿宋" w:cs="仿宋"/>
          <w:sz w:val="32"/>
          <w:szCs w:val="32"/>
        </w:rPr>
        <w:t>1.商业承兑，接收比例或金额：</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tabs>
          <w:tab w:val="left" w:pos="3360"/>
        </w:tabs>
        <w:adjustRightInd w:val="0"/>
        <w:snapToGrid w:val="0"/>
        <w:spacing w:line="360" w:lineRule="auto"/>
        <w:jc w:val="left"/>
        <w:rPr>
          <w:rFonts w:hint="eastAsia" w:ascii="仿宋" w:hAnsi="仿宋" w:eastAsia="仿宋" w:cs="仿宋"/>
          <w:sz w:val="32"/>
          <w:szCs w:val="32"/>
          <w:u w:val="single"/>
        </w:rPr>
      </w:pPr>
      <w:r>
        <w:rPr>
          <w:rFonts w:hint="eastAsia" w:ascii="仿宋" w:hAnsi="仿宋" w:eastAsia="仿宋" w:cs="仿宋"/>
          <w:sz w:val="32"/>
          <w:szCs w:val="32"/>
        </w:rPr>
        <w:sym w:font="Wingdings" w:char="F0A8"/>
      </w:r>
      <w:r>
        <w:rPr>
          <w:rFonts w:hint="eastAsia" w:ascii="仿宋" w:hAnsi="仿宋" w:eastAsia="仿宋" w:cs="仿宋"/>
          <w:sz w:val="32"/>
          <w:szCs w:val="32"/>
        </w:rPr>
        <w:t>2.银行承兑，接收比例或金额：</w:t>
      </w:r>
      <w:r>
        <w:rPr>
          <w:rFonts w:hint="eastAsia" w:ascii="仿宋" w:hAnsi="仿宋" w:eastAsia="仿宋" w:cs="仿宋"/>
          <w:sz w:val="32"/>
          <w:szCs w:val="32"/>
          <w:u w:val="single"/>
        </w:rPr>
        <w:t xml:space="preserve">                  </w:t>
      </w:r>
      <w:r>
        <w:rPr>
          <w:rFonts w:hint="eastAsia" w:ascii="仿宋" w:hAnsi="仿宋" w:eastAsia="仿宋" w:cs="仿宋"/>
          <w:sz w:val="32"/>
          <w:szCs w:val="32"/>
        </w:rPr>
        <w:t>。</w:t>
      </w:r>
      <w:bookmarkStart w:id="0" w:name="_GoBack"/>
      <w:bookmarkEnd w:id="0"/>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sym w:font="Wingdings" w:char="F0A8"/>
      </w:r>
      <w:r>
        <w:rPr>
          <w:rFonts w:hint="eastAsia" w:ascii="仿宋" w:hAnsi="仿宋" w:eastAsia="仿宋" w:cs="仿宋"/>
          <w:sz w:val="32"/>
          <w:szCs w:val="32"/>
        </w:rPr>
        <w:t>3.现金结算。</w:t>
      </w:r>
    </w:p>
    <w:p>
      <w:pPr>
        <w:tabs>
          <w:tab w:val="left" w:pos="3360"/>
        </w:tabs>
        <w:adjustRightInd w:val="0"/>
        <w:snapToGrid w:val="0"/>
        <w:spacing w:line="360" w:lineRule="auto"/>
        <w:ind w:left="643"/>
        <w:jc w:val="left"/>
        <w:rPr>
          <w:rFonts w:hint="eastAsia" w:ascii="仿宋" w:hAnsi="仿宋" w:eastAsia="仿宋" w:cs="仿宋"/>
          <w:b/>
          <w:bCs/>
          <w:sz w:val="32"/>
          <w:szCs w:val="32"/>
        </w:rPr>
      </w:pPr>
      <w:r>
        <w:rPr>
          <w:rFonts w:hint="eastAsia" w:ascii="仿宋" w:hAnsi="仿宋" w:eastAsia="仿宋" w:cs="仿宋"/>
          <w:b/>
          <w:bCs/>
          <w:sz w:val="32"/>
          <w:szCs w:val="32"/>
        </w:rPr>
        <w:t>四、付款方式：</w:t>
      </w:r>
    </w:p>
    <w:p>
      <w:pPr>
        <w:tabs>
          <w:tab w:val="left" w:pos="3360"/>
        </w:tabs>
        <w:adjustRightInd w:val="0"/>
        <w:snapToGrid w:val="0"/>
        <w:spacing w:line="360" w:lineRule="auto"/>
        <w:ind w:left="643"/>
        <w:jc w:val="left"/>
        <w:rPr>
          <w:rFonts w:hint="eastAsia" w:ascii="仿宋" w:hAnsi="仿宋" w:eastAsia="仿宋" w:cs="仿宋"/>
          <w:b/>
          <w:bCs/>
          <w:sz w:val="32"/>
          <w:szCs w:val="32"/>
          <w:u w:val="single"/>
        </w:rPr>
      </w:pP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无预付款，按月支付已完成合格工程量价款的</w:t>
      </w:r>
      <w:r>
        <w:rPr>
          <w:rFonts w:hint="eastAsia" w:ascii="仿宋" w:hAnsi="仿宋" w:eastAsia="仿宋" w:cs="仿宋"/>
          <w:b/>
          <w:bCs/>
          <w:sz w:val="32"/>
          <w:szCs w:val="32"/>
          <w:u w:val="single"/>
          <w:lang w:val="en-US" w:eastAsia="zh-CN"/>
        </w:rPr>
        <w:t>5</w:t>
      </w:r>
      <w:r>
        <w:rPr>
          <w:rFonts w:hint="eastAsia" w:ascii="仿宋" w:hAnsi="仿宋" w:eastAsia="仿宋" w:cs="仿宋"/>
          <w:b/>
          <w:bCs/>
          <w:sz w:val="32"/>
          <w:szCs w:val="32"/>
          <w:u w:val="single"/>
        </w:rPr>
        <w:t>0％，项目竣工设备退场后支付至甲乙双方结算价的97％，剩余尾款待竣工验收合格一年后无息付清。</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报价人（个人签字、单位盖章）：        代表：                    联系电话：</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报价日期：  年   月   日</w:t>
      </w:r>
    </w:p>
    <w:p>
      <w:pPr>
        <w:pStyle w:val="5"/>
        <w:widowControl/>
        <w:shd w:val="clear" w:color="auto" w:fill="FFFFFF"/>
        <w:wordWrap w:val="0"/>
        <w:spacing w:before="10" w:beforeAutospacing="0" w:after="10" w:afterAutospacing="0" w:line="560" w:lineRule="exact"/>
        <w:ind w:left="10" w:right="10" w:firstLine="430"/>
        <w:jc w:val="right"/>
      </w:pPr>
      <w:r>
        <w:rPr>
          <w:rFonts w:hint="eastAsia" w:ascii="仿宋_GB2312" w:hAnsi="宋体" w:eastAsia="仿宋_GB2312" w:cs="宋体"/>
          <w:sz w:val="32"/>
          <w:szCs w:val="32"/>
        </w:rPr>
        <w:t xml:space="preserve">  </w:t>
      </w:r>
    </w:p>
    <w:p>
      <w:pPr>
        <w:rPr>
          <w:rFonts w:hint="eastAsia" w:ascii="仿宋" w:hAnsi="仿宋" w:eastAsia="仿宋" w:cs="仿宋"/>
          <w:b/>
          <w:sz w:val="36"/>
          <w:szCs w:val="36"/>
        </w:rPr>
      </w:pPr>
    </w:p>
    <w:p>
      <w:pPr>
        <w:pStyle w:val="2"/>
        <w:tabs>
          <w:tab w:val="left" w:pos="3149"/>
        </w:tabs>
        <w:overflowPunct w:val="0"/>
        <w:ind w:right="68"/>
        <w:jc w:val="center"/>
        <w:rPr>
          <w:rFonts w:hint="eastAsia" w:ascii="仿宋" w:hAnsi="仿宋" w:eastAsia="仿宋" w:cs="仿宋"/>
          <w:b/>
          <w:sz w:val="36"/>
          <w:szCs w:val="36"/>
        </w:rPr>
        <w:sectPr>
          <w:pgSz w:w="11906" w:h="16838"/>
          <w:pgMar w:top="1440" w:right="1800" w:bottom="1440" w:left="1800" w:header="851" w:footer="992" w:gutter="0"/>
          <w:cols w:space="425" w:num="1"/>
          <w:docGrid w:type="lines" w:linePitch="312" w:charSpace="0"/>
        </w:sectPr>
      </w:pPr>
    </w:p>
    <w:p>
      <w:pPr>
        <w:rPr>
          <w:rFonts w:hint="eastAsia"/>
        </w:rPr>
      </w:pPr>
    </w:p>
    <w:p>
      <w:pPr>
        <w:pStyle w:val="2"/>
        <w:tabs>
          <w:tab w:val="left" w:pos="3149"/>
        </w:tabs>
        <w:overflowPunct w:val="0"/>
        <w:ind w:right="68"/>
        <w:jc w:val="center"/>
        <w:rPr>
          <w:rFonts w:hint="eastAsia" w:ascii="仿宋" w:hAnsi="仿宋" w:eastAsia="仿宋" w:cs="仿宋"/>
          <w:b/>
          <w:sz w:val="36"/>
          <w:szCs w:val="36"/>
        </w:rPr>
      </w:pPr>
    </w:p>
    <w:p>
      <w:pPr>
        <w:pStyle w:val="2"/>
        <w:tabs>
          <w:tab w:val="left" w:pos="3149"/>
        </w:tabs>
        <w:overflowPunct w:val="0"/>
        <w:ind w:right="68"/>
        <w:jc w:val="center"/>
        <w:rPr>
          <w:rFonts w:hint="eastAsia" w:ascii="仿宋" w:hAnsi="仿宋" w:eastAsia="仿宋" w:cs="仿宋"/>
          <w:b/>
          <w:sz w:val="28"/>
          <w:szCs w:val="28"/>
        </w:rPr>
      </w:pPr>
      <w:r>
        <w:rPr>
          <w:rFonts w:hint="eastAsia" w:ascii="仿宋" w:hAnsi="仿宋" w:eastAsia="仿宋" w:cs="仿宋"/>
          <w:b/>
          <w:sz w:val="36"/>
          <w:szCs w:val="36"/>
        </w:rPr>
        <w:t>供应商廉洁承诺书</w:t>
      </w:r>
    </w:p>
    <w:p>
      <w:pPr>
        <w:rPr>
          <w:rFonts w:hint="eastAsia" w:ascii="仿宋" w:hAnsi="仿宋" w:eastAsia="仿宋" w:cs="仿宋"/>
          <w:b/>
          <w:sz w:val="28"/>
          <w:szCs w:val="28"/>
        </w:rPr>
      </w:pPr>
    </w:p>
    <w:p>
      <w:pPr>
        <w:pStyle w:val="2"/>
        <w:tabs>
          <w:tab w:val="left" w:pos="3149"/>
        </w:tabs>
        <w:overflowPunct w:val="0"/>
        <w:ind w:right="68"/>
        <w:rPr>
          <w:rFonts w:hint="eastAsia" w:ascii="仿宋" w:hAnsi="仿宋" w:eastAsia="仿宋" w:cs="仿宋"/>
          <w:kern w:val="2"/>
          <w:sz w:val="24"/>
          <w:szCs w:val="24"/>
        </w:rPr>
      </w:pPr>
      <w:r>
        <w:rPr>
          <w:rFonts w:hint="eastAsia" w:ascii="仿宋" w:hAnsi="仿宋" w:eastAsia="仿宋" w:cs="仿宋"/>
          <w:kern w:val="2"/>
          <w:sz w:val="24"/>
          <w:szCs w:val="24"/>
          <w:lang w:eastAsia="zh-CN"/>
        </w:rPr>
        <w:t>致：</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为维护公平竞争的市场秩序，我方自愿在参与贵方组织招 标采购（合作）等商业往来活动中，加强有关人员廉洁从业管理，恪守商业道德，从源头预防和遏制违法、违规、违纪行为发生，特做出以下承诺：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一、严格遵守国家有关法律法规，坚持诚实守信原则，恪守商业道德，规范商务人员廉洁从业行为。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二、决不伙同他人串标、围标或非法排挤竞争对手，决不在商业活动中提供虚假资料，决不发生损害贵方合法权益等行为，决不从事妨碍正常交易的其他违法行为。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三、决不违规获取贵方保密商业活动涉及的所有相关信息，决不与贵方工作人员(含工作人员的配偶、子女及亲属等，下同) 合谋进行弄虚作假、串通招标等违规活动。</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五、决不为贵方工作人员提供和安排有可能影响公平、公正交易的宴请、健身、度假、旅游、娱乐等活动。</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六、决不为贵方工作人员投资入股、个人借款或买卖股票、债券等提供方便。</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七、决不为贵方工作人员购买或装修住房、婚丧嫁娶、配偶子女上学或工作安排以及出国出境、旅游等提供方便。</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八、决不违反规定为贵方工作人员在我方相关企业挂名兼职、合伙经营、介绍承揽业务等提供方便。</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九、贵方对涉嫌不廉洁的商业行为进行调查时，我方有配合提供证据、作证的义务。</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十、未经贵方同意，我方不向任何新闻媒体、第三人述及有关贵方工作人员恪守商业道德方面的评价、信息。</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十一、我方承诺未被国家机关列入执行行贿人“黑名单”或失信被执行人。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十二、发现贵方工作人员有违反本承诺书行为或行为倾向的，将及时提醒纠正并向贵方纪检监察部门举报，同时积极配合贵方进行调查。</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十三、本承诺书构成我方与贵方之间进行的所有商业活动所签订合同的不可分割的一部分，不因相关合同期限届满而终止。</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我方自愿接受社会及贵方监督，如有违反本承诺，贵方有权采取列入供应商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供应商黑名单。</w:t>
      </w:r>
    </w:p>
    <w:p>
      <w:pPr>
        <w:pStyle w:val="2"/>
        <w:overflowPunct w:val="0"/>
        <w:rPr>
          <w:rFonts w:hint="eastAsia" w:ascii="仿宋" w:hAnsi="仿宋" w:eastAsia="仿宋" w:cs="仿宋"/>
          <w:sz w:val="18"/>
          <w:szCs w:val="18"/>
        </w:rPr>
      </w:pPr>
    </w:p>
    <w:p>
      <w:pPr>
        <w:pStyle w:val="9"/>
        <w:autoSpaceDE/>
        <w:autoSpaceDN/>
        <w:adjustRightInd/>
        <w:spacing w:line="560" w:lineRule="exact"/>
        <w:jc w:val="both"/>
        <w:rPr>
          <w:rFonts w:hint="eastAsia" w:ascii="仿宋" w:hAnsi="仿宋" w:eastAsia="仿宋" w:cs="仿宋"/>
          <w:kern w:val="2"/>
          <w:szCs w:val="24"/>
        </w:rPr>
      </w:pPr>
    </w:p>
    <w:p>
      <w:pPr>
        <w:pStyle w:val="9"/>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承诺方：（盖章）</w:t>
      </w:r>
    </w:p>
    <w:p>
      <w:pPr>
        <w:pStyle w:val="9"/>
        <w:autoSpaceDE/>
        <w:autoSpaceDN/>
        <w:adjustRightInd/>
        <w:spacing w:line="560" w:lineRule="exact"/>
        <w:rPr>
          <w:rFonts w:hint="eastAsia" w:ascii="仿宋" w:hAnsi="仿宋" w:eastAsia="仿宋" w:cs="仿宋"/>
          <w:kern w:val="2"/>
          <w:szCs w:val="24"/>
        </w:rPr>
      </w:pPr>
    </w:p>
    <w:p>
      <w:pPr>
        <w:pStyle w:val="9"/>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法定代表：（签字）</w:t>
      </w:r>
    </w:p>
    <w:p>
      <w:pPr>
        <w:kinsoku/>
        <w:overflowPunct w:val="0"/>
        <w:topLinePunct/>
        <w:spacing w:line="560" w:lineRule="exact"/>
        <w:ind w:firstLine="640" w:firstLineChars="200"/>
        <w:jc w:val="both"/>
        <w:rPr>
          <w:rFonts w:hint="eastAsia" w:ascii="仿宋" w:hAnsi="仿宋" w:eastAsia="仿宋" w:cs="仿宋"/>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B6755"/>
    <w:multiLevelType w:val="singleLevel"/>
    <w:tmpl w:val="91CB675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NTk0YWUzMDkwY2RjOGY1YWFjNjQ4NTkzYWIyNzUifQ=="/>
  </w:docVars>
  <w:rsids>
    <w:rsidRoot w:val="00172A27"/>
    <w:rsid w:val="026F65ED"/>
    <w:rsid w:val="04803322"/>
    <w:rsid w:val="09EA794C"/>
    <w:rsid w:val="0A764C3F"/>
    <w:rsid w:val="0B611E33"/>
    <w:rsid w:val="15F07F9B"/>
    <w:rsid w:val="1E0142D0"/>
    <w:rsid w:val="1F6B3029"/>
    <w:rsid w:val="2F911A4F"/>
    <w:rsid w:val="37530DAA"/>
    <w:rsid w:val="4D7B7443"/>
    <w:rsid w:val="5180327A"/>
    <w:rsid w:val="581662BB"/>
    <w:rsid w:val="66DD1AC8"/>
    <w:rsid w:val="7D2A2B57"/>
    <w:rsid w:val="7DBB3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autoRedefine/>
    <w:semiHidden/>
    <w:qFormat/>
    <w:uiPriority w:val="0"/>
    <w:rPr>
      <w:rFonts w:ascii="Arial" w:hAnsi="Arial" w:eastAsia="Arial" w:cs="Arial"/>
      <w:sz w:val="21"/>
      <w:szCs w:val="21"/>
      <w:lang w:val="en-US" w:eastAsia="en-US" w:bidi="ar-SA"/>
    </w:rPr>
  </w:style>
  <w:style w:type="paragraph" w:styleId="3">
    <w:name w:val="Body Text Indent 2"/>
    <w:basedOn w:val="1"/>
    <w:autoRedefine/>
    <w:qFormat/>
    <w:uiPriority w:val="0"/>
    <w:pPr>
      <w:spacing w:after="120" w:line="480" w:lineRule="auto"/>
      <w:ind w:left="420" w:firstLine="539"/>
    </w:pPr>
    <w:rPr>
      <w:rFonts w:ascii="Times New Roman" w:hAnsi="Times New Roman"/>
      <w:sz w:val="28"/>
    </w:rPr>
  </w:style>
  <w:style w:type="paragraph" w:styleId="4">
    <w:name w:val="toc 2"/>
    <w:basedOn w:val="1"/>
    <w:next w:val="1"/>
    <w:autoRedefine/>
    <w:qFormat/>
    <w:uiPriority w:val="39"/>
    <w:pPr>
      <w:ind w:left="420" w:leftChars="200"/>
    </w:p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2"/>
    <w:autoRedefine/>
    <w:unhideWhenUsed/>
    <w:qFormat/>
    <w:uiPriority w:val="99"/>
    <w:pPr>
      <w:ind w:firstLine="420" w:firstLineChars="100"/>
    </w:pPr>
    <w:rPr>
      <w:rFonts w:ascii="Calibri" w:hAnsi="Calibri" w:eastAsia="宋体" w:cs="Times New Roman"/>
      <w:szCs w:val="22"/>
    </w:rPr>
  </w:style>
  <w:style w:type="paragraph" w:styleId="9">
    <w:name w:val="List Paragraph"/>
    <w:basedOn w:val="1"/>
    <w:autoRedefine/>
    <w:qFormat/>
    <w:uiPriority w:val="34"/>
    <w:pPr>
      <w:autoSpaceDE w:val="0"/>
      <w:autoSpaceDN w:val="0"/>
      <w:adjustRightInd w:val="0"/>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牛奶</cp:lastModifiedBy>
  <dcterms:modified xsi:type="dcterms:W3CDTF">2024-01-04T08:57:42Z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A860C69A8FF6400E9CCF7BC6F1F68331_13</vt:lpwstr>
  </property>
</Properties>
</file>