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rPr>
      </w:pPr>
      <w:r>
        <w:rPr>
          <w:rFonts w:hint="eastAsia" w:ascii="仿宋" w:hAnsi="仿宋" w:eastAsia="仿宋" w:cs="仿宋"/>
          <w:sz w:val="48"/>
          <w:szCs w:val="48"/>
          <w:lang w:val="en-US" w:eastAsia="zh-CN"/>
        </w:rPr>
        <w:t>中煤长江生态环境科技</w:t>
      </w:r>
      <w:r>
        <w:rPr>
          <w:rFonts w:hint="eastAsia" w:ascii="仿宋" w:hAnsi="仿宋" w:eastAsia="仿宋" w:cs="仿宋"/>
          <w:sz w:val="48"/>
          <w:szCs w:val="48"/>
        </w:rPr>
        <w:t>有限公司土壤污染状况详细调查报告、风险评估报告、风险管控报告项目风险评估和管控</w:t>
      </w:r>
      <w:r>
        <w:rPr>
          <w:rFonts w:hint="eastAsia" w:ascii="仿宋" w:hAnsi="仿宋" w:eastAsia="仿宋" w:cs="仿宋"/>
          <w:sz w:val="48"/>
          <w:szCs w:val="48"/>
          <w:lang w:val="en-US" w:eastAsia="zh-CN"/>
        </w:rPr>
        <w:t>技术服务比选采购</w:t>
      </w:r>
      <w:r>
        <w:rPr>
          <w:rFonts w:hint="eastAsia" w:ascii="仿宋" w:hAnsi="仿宋" w:eastAsia="仿宋" w:cs="仿宋"/>
          <w:sz w:val="48"/>
          <w:szCs w:val="48"/>
          <w:lang w:eastAsia="zh-CN"/>
        </w:rPr>
        <w:t>响应</w:t>
      </w:r>
      <w:r>
        <w:rPr>
          <w:rFonts w:hint="eastAsia" w:ascii="仿宋" w:hAnsi="仿宋" w:eastAsia="仿宋" w:cs="仿宋"/>
          <w:sz w:val="48"/>
          <w:szCs w:val="48"/>
        </w:rPr>
        <w:t>文件</w:t>
      </w:r>
    </w:p>
    <w:p>
      <w:pPr>
        <w:pStyle w:val="9"/>
        <w:rPr>
          <w:rFonts w:hint="eastAsia" w:ascii="仿宋" w:hAnsi="仿宋" w:eastAsia="仿宋" w:cs="仿宋"/>
        </w:rPr>
      </w:pPr>
    </w:p>
    <w:p>
      <w:pPr>
        <w:pStyle w:val="9"/>
        <w:rPr>
          <w:rFonts w:hint="eastAsia" w:ascii="仿宋" w:hAnsi="仿宋" w:eastAsia="仿宋" w:cs="仿宋"/>
        </w:rPr>
      </w:pPr>
    </w:p>
    <w:p>
      <w:pPr>
        <w:jc w:val="center"/>
        <w:rPr>
          <w:rFonts w:hint="eastAsia" w:ascii="仿宋" w:hAnsi="仿宋" w:eastAsia="仿宋" w:cs="仿宋"/>
          <w:bCs/>
          <w:sz w:val="32"/>
          <w:szCs w:val="32"/>
          <w:lang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_GB2312" w:hAnsi="仿宋_GB2312" w:eastAsia="仿宋_GB2312" w:cs="仿宋_GB2312"/>
          <w:color w:val="auto"/>
          <w:kern w:val="0"/>
          <w:sz w:val="32"/>
          <w:szCs w:val="32"/>
          <w:lang w:val="en-US" w:eastAsia="zh-CN" w:bidi="ar-SA"/>
        </w:rPr>
        <w:t xml:space="preserve">ZMCJHJ-CG-2024008 </w:t>
      </w: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9"/>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0" w:firstLineChars="0"/>
        <w:rPr>
          <w:rFonts w:hint="eastAsia" w:ascii="仿宋" w:hAnsi="仿宋" w:eastAsia="仿宋" w:cs="仿宋"/>
          <w:color w:val="auto"/>
          <w:sz w:val="44"/>
          <w:szCs w:val="44"/>
        </w:rPr>
      </w:pPr>
    </w:p>
    <w:p>
      <w:pPr>
        <w:pStyle w:val="11"/>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11"/>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9"/>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11"/>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pStyle w:val="8"/>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8"/>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2"/>
        <w:rPr>
          <w:rFonts w:hint="eastAsia" w:eastAsia="仿宋"/>
          <w:lang w:val="en-US" w:eastAsia="zh-CN"/>
        </w:rPr>
      </w:pPr>
      <w:r>
        <w:rPr>
          <w:rFonts w:hint="eastAsia" w:eastAsia="仿宋"/>
          <w:lang w:val="en-US" w:eastAsia="zh-CN"/>
        </w:rPr>
        <w:t>营业执照及资质文件：</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bookmarkStart w:id="0" w:name="_GoBack"/>
      <w:bookmarkEnd w:id="0"/>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中煤长江生态环境科技有限公司</w:t>
      </w:r>
      <w:r>
        <w:rPr>
          <w:rFonts w:hint="eastAsia" w:ascii="仿宋" w:hAnsi="仿宋" w:eastAsia="仿宋" w:cs="仿宋"/>
          <w:sz w:val="48"/>
          <w:szCs w:val="48"/>
        </w:rPr>
        <w:t>风险评估和管控</w:t>
      </w:r>
      <w:r>
        <w:rPr>
          <w:rFonts w:hint="eastAsia" w:ascii="仿宋" w:hAnsi="仿宋" w:eastAsia="仿宋" w:cs="仿宋"/>
          <w:sz w:val="48"/>
          <w:szCs w:val="48"/>
          <w:lang w:val="en-US" w:eastAsia="zh-CN"/>
        </w:rPr>
        <w:t>技术服务</w:t>
      </w:r>
      <w:r>
        <w:rPr>
          <w:rFonts w:hint="eastAsia" w:ascii="仿宋" w:hAnsi="仿宋" w:eastAsia="仿宋" w:cs="仿宋"/>
          <w:kern w:val="2"/>
          <w:sz w:val="44"/>
          <w:szCs w:val="44"/>
          <w:lang w:val="en-US" w:eastAsia="zh-CN" w:bidi="ar-SA"/>
        </w:rPr>
        <w:t>采购</w:t>
      </w:r>
      <w:r>
        <w:rPr>
          <w:rFonts w:hint="eastAsia" w:ascii="仿宋" w:hAnsi="仿宋" w:eastAsia="仿宋" w:cs="仿宋"/>
          <w:sz w:val="44"/>
          <w:szCs w:val="44"/>
        </w:rPr>
        <w:t>报价单</w:t>
      </w:r>
    </w:p>
    <w:p>
      <w:pPr>
        <w:pStyle w:val="10"/>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10"/>
        <w:widowControl/>
        <w:shd w:val="clear" w:color="auto" w:fill="FFFFFF"/>
        <w:spacing w:beforeAutospacing="0" w:afterAutospacing="0" w:line="560" w:lineRule="exact"/>
        <w:ind w:left="2558" w:leftChars="304" w:hanging="1920" w:hangingChars="600"/>
        <w:rPr>
          <w:rFonts w:hint="eastAsia" w:ascii="仿宋" w:hAnsi="仿宋" w:eastAsia="仿宋" w:cs="仿宋"/>
          <w:sz w:val="32"/>
          <w:szCs w:val="32"/>
          <w:lang w:val="en-US"/>
        </w:rPr>
      </w:pPr>
      <w:r>
        <w:rPr>
          <w:rFonts w:hint="eastAsia" w:ascii="仿宋" w:hAnsi="仿宋" w:eastAsia="仿宋" w:cs="仿宋"/>
          <w:sz w:val="32"/>
          <w:szCs w:val="32"/>
        </w:rPr>
        <w:t xml:space="preserve"> 工程名称：土壤污染状况详细调查报告、风险评估报告、风险管控报告项目风险评估和管控</w:t>
      </w:r>
    </w:p>
    <w:p>
      <w:pPr>
        <w:tabs>
          <w:tab w:val="left" w:pos="1060"/>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 w:hAnsi="仿宋" w:eastAsia="仿宋" w:cs="仿宋"/>
          <w:snapToGrid w:val="0"/>
          <w:color w:val="000000"/>
          <w:kern w:val="0"/>
          <w:sz w:val="32"/>
          <w:szCs w:val="32"/>
          <w:lang w:val="en-US" w:eastAsia="zh-CN" w:bidi="ar-SA"/>
        </w:rPr>
        <w:t>江苏省苏州市</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1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97"/>
        <w:gridCol w:w="1214"/>
        <w:gridCol w:w="950"/>
        <w:gridCol w:w="1525"/>
        <w:gridCol w:w="1475"/>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79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214"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950"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合</w:t>
            </w:r>
            <w:r>
              <w:rPr>
                <w:rFonts w:hint="eastAsia" w:ascii="仿宋" w:hAnsi="仿宋" w:eastAsia="仿宋" w:cs="仿宋"/>
                <w:b/>
                <w:bCs/>
                <w:sz w:val="30"/>
                <w:szCs w:val="30"/>
              </w:rPr>
              <w:t>价(元)</w:t>
            </w:r>
          </w:p>
        </w:tc>
        <w:tc>
          <w:tcPr>
            <w:tcW w:w="664"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797" w:type="dxa"/>
            <w:noWrap w:val="0"/>
            <w:vAlign w:val="center"/>
          </w:tcPr>
          <w:p>
            <w:pPr>
              <w:jc w:val="left"/>
              <w:rPr>
                <w:rFonts w:hint="eastAsia" w:ascii="仿宋" w:hAnsi="仿宋" w:eastAsia="仿宋" w:cs="仿宋"/>
                <w:lang w:val="en-US" w:eastAsia="zh-CN"/>
              </w:rPr>
            </w:pPr>
            <w:r>
              <w:rPr>
                <w:rFonts w:hint="eastAsia" w:ascii="仿宋" w:hAnsi="仿宋" w:eastAsia="仿宋" w:cs="仿宋"/>
                <w:lang w:val="en-US" w:eastAsia="zh-CN"/>
              </w:rPr>
              <w:t>风险评估和管控阶段</w:t>
            </w:r>
          </w:p>
        </w:tc>
        <w:tc>
          <w:tcPr>
            <w:tcW w:w="1214" w:type="dxa"/>
            <w:noWrap w:val="0"/>
            <w:vAlign w:val="top"/>
          </w:tcPr>
          <w:p>
            <w:pPr>
              <w:jc w:val="left"/>
              <w:rPr>
                <w:rFonts w:hint="default" w:ascii="仿宋" w:hAnsi="仿宋" w:eastAsia="仿宋" w:cs="仿宋"/>
                <w:lang w:val="en-US" w:eastAsia="zh-CN"/>
              </w:rPr>
            </w:pPr>
            <w:r>
              <w:rPr>
                <w:rFonts w:hint="eastAsia" w:ascii="仿宋" w:hAnsi="仿宋" w:eastAsia="仿宋" w:cs="仿宋"/>
                <w:lang w:val="en-US" w:eastAsia="zh-CN"/>
              </w:rPr>
              <w:t>个</w:t>
            </w:r>
          </w:p>
        </w:tc>
        <w:tc>
          <w:tcPr>
            <w:tcW w:w="950" w:type="dxa"/>
            <w:noWrap w:val="0"/>
            <w:vAlign w:val="top"/>
          </w:tcPr>
          <w:p>
            <w:pPr>
              <w:jc w:val="left"/>
              <w:rPr>
                <w:rFonts w:hint="default" w:ascii="仿宋" w:hAnsi="仿宋" w:eastAsia="仿宋" w:cs="仿宋"/>
                <w:lang w:val="en-US" w:eastAsia="zh-CN"/>
              </w:rPr>
            </w:pPr>
            <w:r>
              <w:rPr>
                <w:rFonts w:hint="eastAsia" w:ascii="仿宋" w:hAnsi="仿宋" w:eastAsia="仿宋" w:cs="仿宋"/>
                <w:lang w:val="en-US" w:eastAsia="zh-CN"/>
              </w:rPr>
              <w:t>1</w:t>
            </w: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664"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797" w:type="dxa"/>
            <w:noWrap w:val="0"/>
            <w:vAlign w:val="top"/>
          </w:tcPr>
          <w:p>
            <w:pPr>
              <w:jc w:val="left"/>
              <w:rPr>
                <w:rFonts w:hint="eastAsia" w:ascii="仿宋" w:hAnsi="仿宋" w:eastAsia="仿宋" w:cs="仿宋"/>
              </w:rPr>
            </w:pPr>
          </w:p>
        </w:tc>
        <w:tc>
          <w:tcPr>
            <w:tcW w:w="1214" w:type="dxa"/>
            <w:noWrap w:val="0"/>
            <w:vAlign w:val="top"/>
          </w:tcPr>
          <w:p>
            <w:pPr>
              <w:jc w:val="left"/>
              <w:rPr>
                <w:rFonts w:hint="eastAsia" w:ascii="仿宋" w:hAnsi="仿宋" w:eastAsia="仿宋" w:cs="仿宋"/>
              </w:rPr>
            </w:pPr>
          </w:p>
        </w:tc>
        <w:tc>
          <w:tcPr>
            <w:tcW w:w="950" w:type="dxa"/>
            <w:noWrap w:val="0"/>
            <w:vAlign w:val="top"/>
          </w:tcPr>
          <w:p>
            <w:pPr>
              <w:jc w:val="left"/>
              <w:rPr>
                <w:rFonts w:hint="eastAsia" w:ascii="仿宋" w:hAnsi="仿宋" w:eastAsia="仿宋" w:cs="仿宋"/>
              </w:rPr>
            </w:pP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664"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97" w:type="dxa"/>
            <w:noWrap w:val="0"/>
            <w:vAlign w:val="top"/>
          </w:tcPr>
          <w:p>
            <w:pPr>
              <w:jc w:val="left"/>
              <w:rPr>
                <w:rFonts w:hint="eastAsia" w:ascii="仿宋" w:hAnsi="仿宋" w:eastAsia="仿宋" w:cs="仿宋"/>
              </w:rPr>
            </w:pPr>
          </w:p>
        </w:tc>
        <w:tc>
          <w:tcPr>
            <w:tcW w:w="1214" w:type="dxa"/>
            <w:noWrap w:val="0"/>
            <w:vAlign w:val="top"/>
          </w:tcPr>
          <w:p>
            <w:pPr>
              <w:jc w:val="left"/>
              <w:rPr>
                <w:rFonts w:hint="eastAsia" w:ascii="仿宋" w:hAnsi="仿宋" w:eastAsia="仿宋" w:cs="仿宋"/>
              </w:rPr>
            </w:pPr>
          </w:p>
        </w:tc>
        <w:tc>
          <w:tcPr>
            <w:tcW w:w="950" w:type="dxa"/>
            <w:noWrap w:val="0"/>
            <w:vAlign w:val="top"/>
          </w:tcPr>
          <w:p>
            <w:pPr>
              <w:jc w:val="left"/>
              <w:rPr>
                <w:rFonts w:hint="eastAsia" w:ascii="仿宋" w:hAnsi="仿宋" w:eastAsia="仿宋" w:cs="仿宋"/>
              </w:rPr>
            </w:pP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664"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97" w:type="dxa"/>
            <w:noWrap w:val="0"/>
            <w:vAlign w:val="top"/>
          </w:tcPr>
          <w:p>
            <w:pPr>
              <w:jc w:val="left"/>
              <w:rPr>
                <w:rFonts w:hint="eastAsia" w:ascii="仿宋" w:hAnsi="仿宋" w:eastAsia="仿宋" w:cs="仿宋"/>
              </w:rPr>
            </w:pPr>
          </w:p>
        </w:tc>
        <w:tc>
          <w:tcPr>
            <w:tcW w:w="1214" w:type="dxa"/>
            <w:noWrap w:val="0"/>
            <w:vAlign w:val="top"/>
          </w:tcPr>
          <w:p>
            <w:pPr>
              <w:jc w:val="left"/>
              <w:rPr>
                <w:rFonts w:hint="eastAsia" w:ascii="仿宋" w:hAnsi="仿宋" w:eastAsia="仿宋" w:cs="仿宋"/>
              </w:rPr>
            </w:pPr>
          </w:p>
        </w:tc>
        <w:tc>
          <w:tcPr>
            <w:tcW w:w="950" w:type="dxa"/>
            <w:noWrap w:val="0"/>
            <w:vAlign w:val="top"/>
          </w:tcPr>
          <w:p>
            <w:pPr>
              <w:jc w:val="left"/>
              <w:rPr>
                <w:rFonts w:hint="eastAsia" w:ascii="仿宋" w:hAnsi="仿宋" w:eastAsia="仿宋" w:cs="仿宋"/>
              </w:rPr>
            </w:pP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664"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97" w:type="dxa"/>
            <w:noWrap w:val="0"/>
            <w:vAlign w:val="top"/>
          </w:tcPr>
          <w:p>
            <w:pPr>
              <w:jc w:val="left"/>
              <w:rPr>
                <w:rFonts w:hint="eastAsia" w:ascii="仿宋" w:hAnsi="仿宋" w:eastAsia="仿宋" w:cs="仿宋"/>
              </w:rPr>
            </w:pPr>
          </w:p>
        </w:tc>
        <w:tc>
          <w:tcPr>
            <w:tcW w:w="1214" w:type="dxa"/>
            <w:noWrap w:val="0"/>
            <w:vAlign w:val="top"/>
          </w:tcPr>
          <w:p>
            <w:pPr>
              <w:jc w:val="left"/>
              <w:rPr>
                <w:rFonts w:hint="eastAsia" w:ascii="仿宋" w:hAnsi="仿宋" w:eastAsia="仿宋" w:cs="仿宋"/>
              </w:rPr>
            </w:pPr>
          </w:p>
        </w:tc>
        <w:tc>
          <w:tcPr>
            <w:tcW w:w="950" w:type="dxa"/>
            <w:noWrap w:val="0"/>
            <w:vAlign w:val="top"/>
          </w:tcPr>
          <w:p>
            <w:pPr>
              <w:jc w:val="left"/>
              <w:rPr>
                <w:rFonts w:hint="eastAsia" w:ascii="仿宋" w:hAnsi="仿宋" w:eastAsia="仿宋" w:cs="仿宋"/>
              </w:rPr>
            </w:pP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664"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97" w:type="dxa"/>
            <w:noWrap w:val="0"/>
            <w:vAlign w:val="top"/>
          </w:tcPr>
          <w:p>
            <w:pPr>
              <w:jc w:val="left"/>
              <w:rPr>
                <w:rFonts w:hint="eastAsia" w:ascii="仿宋" w:hAnsi="仿宋" w:eastAsia="仿宋" w:cs="仿宋"/>
              </w:rPr>
            </w:pPr>
          </w:p>
        </w:tc>
        <w:tc>
          <w:tcPr>
            <w:tcW w:w="1214" w:type="dxa"/>
            <w:noWrap w:val="0"/>
            <w:vAlign w:val="top"/>
          </w:tcPr>
          <w:p>
            <w:pPr>
              <w:jc w:val="left"/>
              <w:rPr>
                <w:rFonts w:hint="eastAsia" w:ascii="仿宋" w:hAnsi="仿宋" w:eastAsia="仿宋" w:cs="仿宋"/>
              </w:rPr>
            </w:pPr>
          </w:p>
        </w:tc>
        <w:tc>
          <w:tcPr>
            <w:tcW w:w="950" w:type="dxa"/>
            <w:noWrap w:val="0"/>
            <w:vAlign w:val="top"/>
          </w:tcPr>
          <w:p>
            <w:pPr>
              <w:jc w:val="left"/>
              <w:rPr>
                <w:rFonts w:hint="eastAsia" w:ascii="仿宋" w:hAnsi="仿宋" w:eastAsia="仿宋" w:cs="仿宋"/>
              </w:rPr>
            </w:pP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664"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797" w:type="dxa"/>
            <w:noWrap w:val="0"/>
            <w:vAlign w:val="top"/>
          </w:tcPr>
          <w:p>
            <w:pPr>
              <w:jc w:val="center"/>
              <w:rPr>
                <w:rFonts w:hint="eastAsia" w:ascii="仿宋" w:hAnsi="仿宋" w:eastAsia="仿宋" w:cs="仿宋"/>
                <w:color w:val="000000"/>
                <w:szCs w:val="24"/>
              </w:rPr>
            </w:pPr>
          </w:p>
        </w:tc>
        <w:tc>
          <w:tcPr>
            <w:tcW w:w="1214" w:type="dxa"/>
            <w:noWrap w:val="0"/>
            <w:vAlign w:val="top"/>
          </w:tcPr>
          <w:p>
            <w:pPr>
              <w:jc w:val="center"/>
              <w:rPr>
                <w:rFonts w:hint="eastAsia" w:ascii="仿宋" w:hAnsi="仿宋" w:eastAsia="仿宋" w:cs="仿宋"/>
                <w:color w:val="000000"/>
                <w:szCs w:val="24"/>
              </w:rPr>
            </w:pPr>
          </w:p>
        </w:tc>
        <w:tc>
          <w:tcPr>
            <w:tcW w:w="950" w:type="dxa"/>
            <w:noWrap w:val="0"/>
            <w:vAlign w:val="top"/>
          </w:tcPr>
          <w:p>
            <w:pPr>
              <w:jc w:val="center"/>
              <w:rPr>
                <w:rFonts w:hint="eastAsia" w:ascii="仿宋" w:hAnsi="仿宋" w:eastAsia="仿宋" w:cs="仿宋"/>
                <w:color w:val="000000"/>
                <w:szCs w:val="24"/>
              </w:rPr>
            </w:pPr>
          </w:p>
        </w:tc>
        <w:tc>
          <w:tcPr>
            <w:tcW w:w="152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5"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664"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517" w:type="dxa"/>
            <w:gridSpan w:val="7"/>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FE"/>
      </w:r>
      <w:r>
        <w:rPr>
          <w:rFonts w:hint="eastAsia" w:ascii="仿宋" w:hAnsi="仿宋" w:eastAsia="仿宋" w:cs="仿宋"/>
          <w:sz w:val="32"/>
          <w:szCs w:val="32"/>
        </w:rPr>
        <w:t>（税率：</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6</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ind w:left="643"/>
        <w:jc w:val="left"/>
        <w:rPr>
          <w:rFonts w:hint="eastAsia" w:ascii="仿宋" w:hAnsi="仿宋" w:eastAsia="仿宋" w:cs="仿宋"/>
          <w:b/>
          <w:bCs/>
          <w:sz w:val="32"/>
          <w:szCs w:val="32"/>
          <w:u w:val="single"/>
        </w:rPr>
      </w:pPr>
      <w:r>
        <w:rPr>
          <w:rFonts w:hint="eastAsia" w:ascii="仿宋" w:hAnsi="仿宋" w:eastAsia="仿宋" w:cs="仿宋"/>
          <w:color w:val="auto"/>
          <w:sz w:val="32"/>
          <w:szCs w:val="32"/>
          <w:u w:val="single"/>
          <w:lang w:val="en-US" w:eastAsia="zh-CN"/>
        </w:rPr>
        <w:t>无预付款，项目竣工验收合格竣工结算最终完成后，乙方开具符合甲方要求的发票，甲方在收到合格的发票后三个月内支付合同价款。</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10"/>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7"/>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7"/>
        <w:tabs>
          <w:tab w:val="left" w:pos="3149"/>
        </w:tabs>
        <w:overflowPunct w:val="0"/>
        <w:ind w:right="68"/>
        <w:jc w:val="center"/>
        <w:rPr>
          <w:rFonts w:hint="eastAsia" w:ascii="仿宋" w:hAnsi="仿宋" w:eastAsia="仿宋" w:cs="仿宋"/>
          <w:b/>
          <w:sz w:val="36"/>
          <w:szCs w:val="36"/>
        </w:rPr>
      </w:pPr>
    </w:p>
    <w:p>
      <w:pPr>
        <w:pStyle w:val="7"/>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7"/>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14"/>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7"/>
        <w:overflowPunct w:val="0"/>
        <w:rPr>
          <w:rFonts w:hint="eastAsia" w:ascii="仿宋" w:hAnsi="仿宋" w:eastAsia="仿宋" w:cs="仿宋"/>
          <w:sz w:val="18"/>
          <w:szCs w:val="18"/>
        </w:rPr>
      </w:pPr>
    </w:p>
    <w:p>
      <w:pPr>
        <w:pStyle w:val="14"/>
        <w:autoSpaceDE/>
        <w:autoSpaceDN/>
        <w:adjustRightInd/>
        <w:spacing w:line="560" w:lineRule="exact"/>
        <w:jc w:val="both"/>
        <w:rPr>
          <w:rFonts w:hint="eastAsia" w:ascii="仿宋" w:hAnsi="仿宋" w:eastAsia="仿宋" w:cs="仿宋"/>
          <w:kern w:val="2"/>
          <w:szCs w:val="24"/>
        </w:rPr>
      </w:pPr>
    </w:p>
    <w:p>
      <w:pPr>
        <w:pStyle w:val="14"/>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14"/>
        <w:autoSpaceDE/>
        <w:autoSpaceDN/>
        <w:adjustRightInd/>
        <w:spacing w:line="560" w:lineRule="exact"/>
        <w:rPr>
          <w:rFonts w:hint="eastAsia" w:ascii="仿宋" w:hAnsi="仿宋" w:eastAsia="仿宋" w:cs="仿宋"/>
          <w:kern w:val="2"/>
          <w:szCs w:val="24"/>
        </w:rPr>
      </w:pPr>
    </w:p>
    <w:p>
      <w:pPr>
        <w:pStyle w:val="14"/>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000000"/>
    <w:rsid w:val="04803322"/>
    <w:rsid w:val="08201413"/>
    <w:rsid w:val="09EA794C"/>
    <w:rsid w:val="0A764C3F"/>
    <w:rsid w:val="0B611E33"/>
    <w:rsid w:val="15F07F9B"/>
    <w:rsid w:val="27770B11"/>
    <w:rsid w:val="2F911A4F"/>
    <w:rsid w:val="37530DAA"/>
    <w:rsid w:val="3C9D6A19"/>
    <w:rsid w:val="44DC3304"/>
    <w:rsid w:val="4D7B7443"/>
    <w:rsid w:val="5180327A"/>
    <w:rsid w:val="54EC7A2A"/>
    <w:rsid w:val="56A06091"/>
    <w:rsid w:val="581662BB"/>
    <w:rsid w:val="66DD1AC8"/>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标4"/>
    <w:basedOn w:val="3"/>
    <w:next w:val="1"/>
    <w:autoRedefine/>
    <w:qFormat/>
    <w:uiPriority w:val="99"/>
    <w:pPr>
      <w:ind w:firstLine="560"/>
      <w:jc w:val="left"/>
      <w:outlineLvl w:val="3"/>
    </w:pPr>
  </w:style>
  <w:style w:type="paragraph" w:customStyle="1" w:styleId="3">
    <w:name w:val="标3"/>
    <w:basedOn w:val="4"/>
    <w:next w:val="1"/>
    <w:autoRedefine/>
    <w:qFormat/>
    <w:uiPriority w:val="99"/>
    <w:pPr>
      <w:outlineLvl w:val="2"/>
    </w:pPr>
    <w:rPr>
      <w:rFonts w:ascii="宋体" w:hAnsi="宋体"/>
    </w:rPr>
  </w:style>
  <w:style w:type="paragraph" w:customStyle="1" w:styleId="4">
    <w:name w:val="标2"/>
    <w:basedOn w:val="5"/>
    <w:autoRedefine/>
    <w:qFormat/>
    <w:uiPriority w:val="99"/>
    <w:pPr>
      <w:keepNext/>
      <w:keepLines/>
      <w:spacing w:beforeLines="0"/>
      <w:outlineLvl w:val="1"/>
    </w:pPr>
    <w:rPr>
      <w:rFonts w:ascii="黑体" w:hAnsi="黑体" w:cs="宋体"/>
      <w:b w:val="0"/>
      <w:sz w:val="28"/>
      <w:szCs w:val="20"/>
    </w:rPr>
  </w:style>
  <w:style w:type="paragraph" w:customStyle="1" w:styleId="5">
    <w:name w:val="标1"/>
    <w:basedOn w:val="6"/>
    <w:autoRedefine/>
    <w:qFormat/>
    <w:uiPriority w:val="99"/>
    <w:pPr>
      <w:adjustRightInd w:val="0"/>
      <w:spacing w:beforeLines="50" w:afterLines="50"/>
    </w:pPr>
    <w:rPr>
      <w:kern w:val="24"/>
      <w:sz w:val="30"/>
      <w:szCs w:val="24"/>
    </w:rPr>
  </w:style>
  <w:style w:type="paragraph" w:styleId="6">
    <w:name w:val="Title"/>
    <w:basedOn w:val="1"/>
    <w:next w:val="1"/>
    <w:autoRedefine/>
    <w:qFormat/>
    <w:uiPriority w:val="10"/>
    <w:pPr>
      <w:outlineLvl w:val="2"/>
    </w:pPr>
    <w:rPr>
      <w:rFonts w:eastAsia="仿宋_GB2312" w:cs="黑体"/>
      <w:b/>
      <w:bCs/>
      <w:sz w:val="24"/>
      <w:szCs w:val="32"/>
    </w:rPr>
  </w:style>
  <w:style w:type="paragraph" w:styleId="7">
    <w:name w:val="Body Text"/>
    <w:basedOn w:val="1"/>
    <w:next w:val="1"/>
    <w:autoRedefine/>
    <w:semiHidden/>
    <w:qFormat/>
    <w:uiPriority w:val="0"/>
    <w:rPr>
      <w:rFonts w:ascii="Arial" w:hAnsi="Arial" w:eastAsia="Arial" w:cs="Arial"/>
      <w:sz w:val="21"/>
      <w:szCs w:val="21"/>
      <w:lang w:val="en-US" w:eastAsia="en-US" w:bidi="ar-SA"/>
    </w:rPr>
  </w:style>
  <w:style w:type="paragraph" w:styleId="8">
    <w:name w:val="Body Text Indent 2"/>
    <w:basedOn w:val="1"/>
    <w:autoRedefine/>
    <w:qFormat/>
    <w:uiPriority w:val="0"/>
    <w:pPr>
      <w:spacing w:after="120" w:line="480" w:lineRule="auto"/>
      <w:ind w:left="420" w:firstLine="539"/>
    </w:pPr>
    <w:rPr>
      <w:rFonts w:ascii="Times New Roman" w:hAnsi="Times New Roman"/>
      <w:sz w:val="28"/>
    </w:rPr>
  </w:style>
  <w:style w:type="paragraph" w:styleId="9">
    <w:name w:val="toc 2"/>
    <w:basedOn w:val="1"/>
    <w:next w:val="1"/>
    <w:autoRedefine/>
    <w:qFormat/>
    <w:uiPriority w:val="39"/>
    <w:pPr>
      <w:ind w:left="420" w:leftChars="200"/>
    </w:p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7"/>
    <w:autoRedefine/>
    <w:unhideWhenUsed/>
    <w:qFormat/>
    <w:uiPriority w:val="99"/>
    <w:pPr>
      <w:ind w:firstLine="420" w:firstLineChars="100"/>
    </w:pPr>
    <w:rPr>
      <w:rFonts w:ascii="Calibri" w:hAnsi="Calibri" w:eastAsia="宋体" w:cs="Times New Roman"/>
      <w:szCs w:val="22"/>
    </w:rPr>
  </w:style>
  <w:style w:type="paragraph" w:styleId="14">
    <w:name w:val="List Paragraph"/>
    <w:basedOn w:val="1"/>
    <w:autoRedefine/>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牛奶</cp:lastModifiedBy>
  <dcterms:modified xsi:type="dcterms:W3CDTF">2024-01-23T06:48:26Z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A860C69A8FF6400E9CCF7BC6F1F68331_13</vt:lpwstr>
  </property>
</Properties>
</file>