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rPr>
        <w:t>有限公司土壤污染状况详细调查报告、风险评估报告、风险管控报告项目</w:t>
      </w:r>
      <w:r>
        <w:rPr>
          <w:rFonts w:hint="eastAsia" w:ascii="仿宋" w:hAnsi="仿宋" w:eastAsia="仿宋" w:cs="仿宋"/>
          <w:sz w:val="48"/>
          <w:szCs w:val="48"/>
          <w:lang w:val="en-US" w:eastAsia="zh-CN"/>
        </w:rPr>
        <w:t>土壤检测比选采购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9"/>
        <w:rPr>
          <w:rFonts w:hint="eastAsia" w:ascii="仿宋" w:hAnsi="仿宋" w:eastAsia="仿宋" w:cs="仿宋"/>
        </w:rPr>
      </w:pPr>
    </w:p>
    <w:p>
      <w:pPr>
        <w:pStyle w:val="9"/>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 xml:space="preserve">ZMCJHJ-CG-2024006 </w:t>
      </w: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11"/>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9"/>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8"/>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2"/>
        <w:rPr>
          <w:rFonts w:hint="eastAsia" w:eastAsia="仿宋"/>
          <w:lang w:val="en-US" w:eastAsia="zh-CN"/>
        </w:rPr>
      </w:pPr>
      <w:r>
        <w:rPr>
          <w:rFonts w:hint="eastAsia" w:eastAsia="仿宋"/>
          <w:lang w:val="en-US" w:eastAsia="zh-CN"/>
        </w:rPr>
        <w:t>营业执照及资质文件：</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bookmarkStart w:id="0" w:name="_GoBack"/>
      <w:bookmarkEnd w:id="0"/>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中煤长江生态环境科技有限公司土壤采样和样品检测采购</w:t>
      </w:r>
      <w:r>
        <w:rPr>
          <w:rFonts w:hint="eastAsia" w:ascii="仿宋" w:hAnsi="仿宋" w:eastAsia="仿宋" w:cs="仿宋"/>
          <w:sz w:val="44"/>
          <w:szCs w:val="44"/>
        </w:rPr>
        <w:t>报价单</w:t>
      </w: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10"/>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工程名称：土壤污染状况详细调查报告、风险评估报告、风险管控报告项目土壤检测</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江苏省苏州市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127"/>
        <w:gridCol w:w="837"/>
        <w:gridCol w:w="1613"/>
        <w:gridCol w:w="1475"/>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12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83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776"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jc w:val="left"/>
              <w:rPr>
                <w:rFonts w:hint="eastAsia" w:ascii="仿宋_GB2312" w:hAnsi="宋体" w:eastAsia="仿宋_GB2312" w:cs="仿宋_GB2312"/>
                <w:snapToGrid w:val="0"/>
                <w:color w:val="000000"/>
                <w:sz w:val="21"/>
                <w:szCs w:val="21"/>
                <w:lang w:val="en-US" w:eastAsia="zh-CN" w:bidi="ar-SA"/>
              </w:rPr>
            </w:pPr>
            <w:r>
              <w:rPr>
                <w:rFonts w:hint="eastAsia" w:ascii="仿宋_GB2312" w:hAnsi="宋体" w:eastAsia="仿宋_GB2312" w:cs="仿宋_GB2312"/>
                <w:szCs w:val="21"/>
                <w:lang w:val="en-US" w:eastAsia="zh-CN"/>
              </w:rPr>
              <w:t>土壤采样和样品检测</w:t>
            </w:r>
          </w:p>
        </w:tc>
        <w:tc>
          <w:tcPr>
            <w:tcW w:w="1127"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个</w:t>
            </w:r>
          </w:p>
        </w:tc>
        <w:tc>
          <w:tcPr>
            <w:tcW w:w="837"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300</w:t>
            </w: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127" w:type="dxa"/>
            <w:noWrap w:val="0"/>
            <w:vAlign w:val="top"/>
          </w:tcPr>
          <w:p>
            <w:pPr>
              <w:jc w:val="left"/>
              <w:rPr>
                <w:rFonts w:hint="eastAsia" w:ascii="仿宋" w:hAnsi="仿宋" w:eastAsia="仿宋" w:cs="仿宋"/>
              </w:rPr>
            </w:pPr>
          </w:p>
        </w:tc>
        <w:tc>
          <w:tcPr>
            <w:tcW w:w="837" w:type="dxa"/>
            <w:noWrap w:val="0"/>
            <w:vAlign w:val="top"/>
          </w:tcPr>
          <w:p>
            <w:pPr>
              <w:jc w:val="left"/>
              <w:rPr>
                <w:rFonts w:hint="eastAsia" w:ascii="仿宋" w:hAnsi="仿宋" w:eastAsia="仿宋" w:cs="仿宋"/>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127" w:type="dxa"/>
            <w:noWrap w:val="0"/>
            <w:vAlign w:val="top"/>
          </w:tcPr>
          <w:p>
            <w:pPr>
              <w:jc w:val="left"/>
              <w:rPr>
                <w:rFonts w:hint="eastAsia" w:ascii="仿宋" w:hAnsi="仿宋" w:eastAsia="仿宋" w:cs="仿宋"/>
              </w:rPr>
            </w:pPr>
          </w:p>
        </w:tc>
        <w:tc>
          <w:tcPr>
            <w:tcW w:w="837" w:type="dxa"/>
            <w:noWrap w:val="0"/>
            <w:vAlign w:val="top"/>
          </w:tcPr>
          <w:p>
            <w:pPr>
              <w:jc w:val="left"/>
              <w:rPr>
                <w:rFonts w:hint="eastAsia" w:ascii="仿宋" w:hAnsi="仿宋" w:eastAsia="仿宋" w:cs="仿宋"/>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127" w:type="dxa"/>
            <w:noWrap w:val="0"/>
            <w:vAlign w:val="top"/>
          </w:tcPr>
          <w:p>
            <w:pPr>
              <w:jc w:val="left"/>
              <w:rPr>
                <w:rFonts w:hint="eastAsia" w:ascii="仿宋" w:hAnsi="仿宋" w:eastAsia="仿宋" w:cs="仿宋"/>
              </w:rPr>
            </w:pPr>
          </w:p>
        </w:tc>
        <w:tc>
          <w:tcPr>
            <w:tcW w:w="837" w:type="dxa"/>
            <w:noWrap w:val="0"/>
            <w:vAlign w:val="top"/>
          </w:tcPr>
          <w:p>
            <w:pPr>
              <w:jc w:val="left"/>
              <w:rPr>
                <w:rFonts w:hint="eastAsia" w:ascii="仿宋" w:hAnsi="仿宋" w:eastAsia="仿宋" w:cs="仿宋"/>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127" w:type="dxa"/>
            <w:noWrap w:val="0"/>
            <w:vAlign w:val="top"/>
          </w:tcPr>
          <w:p>
            <w:pPr>
              <w:jc w:val="left"/>
              <w:rPr>
                <w:rFonts w:hint="eastAsia" w:ascii="仿宋" w:hAnsi="仿宋" w:eastAsia="仿宋" w:cs="仿宋"/>
              </w:rPr>
            </w:pPr>
          </w:p>
        </w:tc>
        <w:tc>
          <w:tcPr>
            <w:tcW w:w="837" w:type="dxa"/>
            <w:noWrap w:val="0"/>
            <w:vAlign w:val="top"/>
          </w:tcPr>
          <w:p>
            <w:pPr>
              <w:jc w:val="left"/>
              <w:rPr>
                <w:rFonts w:hint="eastAsia" w:ascii="仿宋" w:hAnsi="仿宋" w:eastAsia="仿宋" w:cs="仿宋"/>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127" w:type="dxa"/>
            <w:noWrap w:val="0"/>
            <w:vAlign w:val="top"/>
          </w:tcPr>
          <w:p>
            <w:pPr>
              <w:jc w:val="left"/>
              <w:rPr>
                <w:rFonts w:hint="eastAsia" w:ascii="仿宋" w:hAnsi="仿宋" w:eastAsia="仿宋" w:cs="仿宋"/>
              </w:rPr>
            </w:pPr>
          </w:p>
        </w:tc>
        <w:tc>
          <w:tcPr>
            <w:tcW w:w="837" w:type="dxa"/>
            <w:noWrap w:val="0"/>
            <w:vAlign w:val="top"/>
          </w:tcPr>
          <w:p>
            <w:pPr>
              <w:jc w:val="left"/>
              <w:rPr>
                <w:rFonts w:hint="eastAsia" w:ascii="仿宋" w:hAnsi="仿宋" w:eastAsia="仿宋" w:cs="仿宋"/>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127" w:type="dxa"/>
            <w:noWrap w:val="0"/>
            <w:vAlign w:val="top"/>
          </w:tcPr>
          <w:p>
            <w:pPr>
              <w:jc w:val="center"/>
              <w:rPr>
                <w:rFonts w:hint="eastAsia" w:ascii="仿宋" w:hAnsi="仿宋" w:eastAsia="仿宋" w:cs="仿宋"/>
                <w:color w:val="000000"/>
                <w:szCs w:val="24"/>
              </w:rPr>
            </w:pPr>
          </w:p>
        </w:tc>
        <w:tc>
          <w:tcPr>
            <w:tcW w:w="837" w:type="dxa"/>
            <w:noWrap w:val="0"/>
            <w:vAlign w:val="top"/>
          </w:tcPr>
          <w:p>
            <w:pPr>
              <w:jc w:val="center"/>
              <w:rPr>
                <w:rFonts w:hint="eastAsia" w:ascii="仿宋" w:hAnsi="仿宋" w:eastAsia="仿宋" w:cs="仿宋"/>
                <w:color w:val="000000"/>
                <w:szCs w:val="24"/>
              </w:rPr>
            </w:pPr>
          </w:p>
        </w:tc>
        <w:tc>
          <w:tcPr>
            <w:tcW w:w="161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776"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7" w:type="dxa"/>
            <w:gridSpan w:val="7"/>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FE"/>
      </w:r>
      <w:r>
        <w:rPr>
          <w:rFonts w:hint="eastAsia" w:ascii="仿宋" w:hAnsi="仿宋" w:eastAsia="仿宋" w:cs="仿宋"/>
          <w:sz w:val="32"/>
          <w:szCs w:val="32"/>
        </w:rPr>
        <w:t>（税率：</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color w:val="auto"/>
          <w:sz w:val="32"/>
          <w:szCs w:val="32"/>
          <w:u w:val="single"/>
          <w:lang w:val="en-US" w:eastAsia="zh-CN"/>
        </w:rPr>
        <w:t>无预付款，项目竣工验收合格竣工结算最终完成后，乙方开具符合甲方要求的发票，甲方在收到合格的发票后三个月内支付合同价款。</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10"/>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7"/>
        <w:tabs>
          <w:tab w:val="left" w:pos="3149"/>
        </w:tabs>
        <w:overflowPunct w:val="0"/>
        <w:ind w:right="68"/>
        <w:jc w:val="cente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7"/>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7"/>
        <w:overflowPunct w:val="0"/>
        <w:rPr>
          <w:rFonts w:hint="eastAsia" w:ascii="仿宋" w:hAnsi="仿宋" w:eastAsia="仿宋" w:cs="仿宋"/>
          <w:sz w:val="18"/>
          <w:szCs w:val="18"/>
        </w:rPr>
      </w:pPr>
    </w:p>
    <w:p>
      <w:pPr>
        <w:pStyle w:val="14"/>
        <w:autoSpaceDE/>
        <w:autoSpaceDN/>
        <w:adjustRightInd/>
        <w:spacing w:line="560" w:lineRule="exact"/>
        <w:jc w:val="both"/>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4"/>
        <w:autoSpaceDE/>
        <w:autoSpaceDN/>
        <w:adjustRightInd/>
        <w:spacing w:line="560" w:lineRule="exact"/>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p>
      <w:pPr>
        <w:pStyle w:val="2"/>
      </w:pPr>
    </w:p>
    <w:p/>
    <w:p>
      <w:pPr>
        <w:pStyle w:val="2"/>
      </w:pPr>
    </w:p>
    <w:p>
      <w:pPr>
        <w:rPr>
          <w:rFonts w:hint="default" w:eastAsia="宋体"/>
          <w:lang w:val="en-US" w:eastAsia="zh-CN"/>
        </w:rPr>
      </w:pPr>
      <w:r>
        <w:rPr>
          <w:rFonts w:hint="eastAsia" w:eastAsia="宋体"/>
          <w:lang w:val="en-US" w:eastAsia="zh-CN"/>
        </w:rPr>
        <w:t>营业执照：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5E92559"/>
    <w:rsid w:val="09EA794C"/>
    <w:rsid w:val="0A764C3F"/>
    <w:rsid w:val="0B611E33"/>
    <w:rsid w:val="15F07F9B"/>
    <w:rsid w:val="276C0230"/>
    <w:rsid w:val="2F911A4F"/>
    <w:rsid w:val="37530DAA"/>
    <w:rsid w:val="3F7E32DA"/>
    <w:rsid w:val="467A6405"/>
    <w:rsid w:val="4ACB66F2"/>
    <w:rsid w:val="4D7B7443"/>
    <w:rsid w:val="5180327A"/>
    <w:rsid w:val="54EC7A2A"/>
    <w:rsid w:val="581662BB"/>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4"/>
    <w:basedOn w:val="3"/>
    <w:next w:val="1"/>
    <w:qFormat/>
    <w:uiPriority w:val="99"/>
    <w:pPr>
      <w:ind w:firstLine="560"/>
      <w:jc w:val="left"/>
      <w:outlineLvl w:val="3"/>
    </w:pPr>
  </w:style>
  <w:style w:type="paragraph" w:customStyle="1" w:styleId="3">
    <w:name w:val="标3"/>
    <w:basedOn w:val="4"/>
    <w:next w:val="1"/>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7">
    <w:name w:val="Body Text"/>
    <w:basedOn w:val="1"/>
    <w:next w:val="1"/>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spacing w:after="120" w:line="480" w:lineRule="auto"/>
      <w:ind w:left="420" w:firstLine="539"/>
    </w:pPr>
    <w:rPr>
      <w:rFonts w:ascii="Times New Roman" w:hAnsi="Times New Roman"/>
      <w:sz w:val="2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7"/>
    <w:unhideWhenUsed/>
    <w:qFormat/>
    <w:uiPriority w:val="99"/>
    <w:pPr>
      <w:ind w:firstLine="420" w:firstLineChars="100"/>
    </w:pPr>
    <w:rPr>
      <w:rFonts w:ascii="Calibri" w:hAnsi="Calibri" w:eastAsia="宋体" w:cs="Times New Roman"/>
      <w:szCs w:val="22"/>
    </w:rPr>
  </w:style>
  <w:style w:type="paragraph" w:styleId="14">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2024-01-23T06:48:54Z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